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104.png" ContentType="image/png"/>
  <Override PartName="/word/media/rId21.png" ContentType="image/png"/>
  <Override PartName="/word/media/rId40.png" ContentType="image/png"/>
  <Override PartName="/word/media/rId67.png" ContentType="image/png"/>
  <Override PartName="/word/media/rId72.png" ContentType="image/png"/>
  <Override PartName="/word/media/rId62.png" ContentType="image/png"/>
  <Override PartName="/word/media/rId57.png" ContentType="image/png"/>
  <Override PartName="/word/media/rId84.png" ContentType="image/png"/>
  <Override PartName="/word/media/rId109.png" ContentType="image/png"/>
  <Override PartName="/word/media/rId27.png" ContentType="image/png"/>
  <Override PartName="/word/media/rId45.png" ContentType="image/png"/>
  <Override PartName="/word/media/rId32.png" ContentType="image/png"/>
  <Override PartName="/word/media/rId9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2024-03-22</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Drone</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to</w:t>
      </w:r>
      <w:r>
        <w:t xml:space="preserve"> </w:t>
      </w:r>
      <w:r>
        <w:t xml:space="preserve">address</w:t>
      </w:r>
      <w:r>
        <w:t xml:space="preserve"> </w:t>
      </w:r>
      <w:r>
        <w:t xml:space="preserve">challenges</w:t>
      </w:r>
      <w:r>
        <w:t xml:space="preserve"> </w:t>
      </w:r>
      <w:r>
        <w:t xml:space="preserve">related</w:t>
      </w:r>
      <w:r>
        <w:t xml:space="preserve"> </w:t>
      </w:r>
      <w:r>
        <w:t xml:space="preserve">to</w:t>
      </w:r>
      <w:r>
        <w:t xml:space="preserve"> </w:t>
      </w:r>
      <w:r>
        <w:t xml:space="preserve">spatial</w:t>
      </w:r>
      <w:r>
        <w:t xml:space="preserve"> </w:t>
      </w:r>
      <w:r>
        <w:t xml:space="preserve">heterogeneity</w:t>
      </w:r>
      <w:r>
        <w:t xml:space="preserve"> </w:t>
      </w:r>
      <w:r>
        <w:t xml:space="preserve">and</w:t>
      </w:r>
      <w:r>
        <w:t xml:space="preserve"> </w:t>
      </w:r>
      <w:r>
        <w:t xml:space="preserve">intrapixel</w:t>
      </w:r>
      <w:r>
        <w:t xml:space="preserve"> </w:t>
      </w:r>
      <w:r>
        <w:t xml:space="preserve">mixture.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heterogeneous</w:t>
      </w:r>
      <w:r>
        <w:t xml:space="preserve"> </w:t>
      </w:r>
      <w:r>
        <w:t xml:space="preserve">intertidal</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benthic</w:t>
      </w:r>
      <w:r>
        <w:t xml:space="preserve"> </w:t>
      </w:r>
      <w:r>
        <w:t xml:space="preserve">Bacillariophyceae</w:t>
      </w:r>
      <w:r>
        <w:t xml:space="preserve"> </w:t>
      </w:r>
      <w:r>
        <w:t xml:space="preserve">(Diatoms).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This</w:t>
      </w:r>
      <w:r>
        <w:t xml:space="preserve"> </w:t>
      </w:r>
      <w:r>
        <w:t xml:space="preserve">work</w:t>
      </w:r>
      <w:r>
        <w:t xml:space="preserve"> </w:t>
      </w:r>
      <w:r>
        <w:t xml:space="preserve">showed</w:t>
      </w:r>
      <w:r>
        <w:t xml:space="preserve"> </w:t>
      </w:r>
      <w:r>
        <w:t xml:space="preserve">that</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pigmentary</w:t>
      </w:r>
      <w:r>
        <w:t xml:space="preserve"> </w:t>
      </w:r>
      <w:r>
        <w:t xml:space="preserve">composition,</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using</w:t>
      </w:r>
      <w:r>
        <w:t xml:space="preserve"> </w:t>
      </w:r>
      <w:r>
        <w:t xml:space="preserve">a</w:t>
      </w:r>
      <w:r>
        <w:t xml:space="preserve"> </w:t>
      </w:r>
      <w:r>
        <w:t xml:space="preserve">multispectral</w:t>
      </w:r>
      <w:r>
        <w:t xml:space="preserve"> </w:t>
      </w:r>
      <w:r>
        <w:t xml:space="preserve">sensor</w:t>
      </w:r>
      <w:r>
        <w:t xml:space="preserve"> </w:t>
      </w:r>
      <w:r>
        <w:t xml:space="preserve">with</w:t>
      </w:r>
      <w:r>
        <w:t xml:space="preserve"> </w:t>
      </w:r>
      <w:r>
        <w:t xml:space="preserve">ten</w:t>
      </w:r>
      <w:r>
        <w:t xml:space="preserve"> </w:t>
      </w:r>
      <w:r>
        <w:t xml:space="preserve">spectral</w:t>
      </w:r>
      <w:r>
        <w:t xml:space="preserve"> </w:t>
      </w:r>
      <w:r>
        <w:t xml:space="preserve">bands</w:t>
      </w:r>
      <w:r>
        <w:t xml:space="preserve"> </w:t>
      </w:r>
      <w:r>
        <w:t xml:space="preserve">at</w:t>
      </w:r>
      <w:r>
        <w:t xml:space="preserve"> </w:t>
      </w:r>
      <w:r>
        <w:t xml:space="preserve">444,</w:t>
      </w:r>
      <w:r>
        <w:t xml:space="preserve"> </w:t>
      </w:r>
      <w:r>
        <w:t xml:space="preserve">475,</w:t>
      </w:r>
      <w:r>
        <w:t xml:space="preserve"> </w:t>
      </w:r>
      <w:r>
        <w:t xml:space="preserve">531,</w:t>
      </w:r>
      <w:r>
        <w:t xml:space="preserve"> </w:t>
      </w:r>
      <w:r>
        <w:t xml:space="preserve">560,</w:t>
      </w:r>
      <w:r>
        <w:t xml:space="preserve"> </w:t>
      </w:r>
      <w:r>
        <w:t xml:space="preserve">650,</w:t>
      </w:r>
      <w:r>
        <w:t xml:space="preserve"> </w:t>
      </w:r>
      <w:r>
        <w:t xml:space="preserve">668,</w:t>
      </w:r>
      <w:r>
        <w:t xml:space="preserve"> </w:t>
      </w:r>
      <w:r>
        <w:t xml:space="preserve">705,</w:t>
      </w:r>
      <w:r>
        <w:t xml:space="preserve"> </w:t>
      </w:r>
      <w:r>
        <w:t xml:space="preserve">717,</w:t>
      </w:r>
      <w:r>
        <w:t xml:space="preserve"> </w:t>
      </w:r>
      <w:r>
        <w:t xml:space="preserve">740</w:t>
      </w:r>
      <w:r>
        <w:t xml:space="preserve"> </w:t>
      </w:r>
      <w:r>
        <w:t xml:space="preserve">and</w:t>
      </w:r>
      <w:r>
        <w:t xml:space="preserve"> </w:t>
      </w:r>
      <w:r>
        <w:t xml:space="preserve">840</w:t>
      </w:r>
      <w:r>
        <w:t xml:space="preserve"> </w:t>
      </w:r>
      <w:r>
        <w:t xml:space="preserve">nm.</w:t>
      </w:r>
      <w:r>
        <w:t xml:space="preserve"> </w:t>
      </w:r>
      <w:r>
        <w:t xml:space="preserve">The</w:t>
      </w:r>
      <w:r>
        <w:t xml:space="preserve"> </w:t>
      </w:r>
      <w:r>
        <w:t xml:space="preserve">algorithm</w:t>
      </w:r>
      <w:r>
        <w:t xml:space="preserve"> </w:t>
      </w:r>
      <w:r>
        <w:t xml:space="preserve">should</w:t>
      </w:r>
      <w:r>
        <w:t xml:space="preserve"> </w:t>
      </w:r>
      <w:r>
        <w:t xml:space="preserve">now</w:t>
      </w:r>
      <w:r>
        <w:t xml:space="preserve"> </w:t>
      </w:r>
      <w:r>
        <w:t xml:space="preserve">be</w:t>
      </w:r>
      <w:r>
        <w:t xml:space="preserve"> </w:t>
      </w:r>
      <w:r>
        <w:t xml:space="preserve">adapted</w:t>
      </w:r>
      <w:r>
        <w:t xml:space="preserve"> </w:t>
      </w:r>
      <w:r>
        <w:t xml:space="preserve">for</w:t>
      </w:r>
      <w:r>
        <w:t xml:space="preserve"> </w:t>
      </w:r>
      <w:r>
        <w:t xml:space="preserve">Sentinel-2</w:t>
      </w:r>
      <w:r>
        <w:t xml:space="preserve"> </w:t>
      </w:r>
      <w:r>
        <w:t xml:space="preserve">to</w:t>
      </w:r>
      <w:r>
        <w:t xml:space="preserve"> </w:t>
      </w:r>
      <w:r>
        <w:t xml:space="preserve">see</w:t>
      </w:r>
      <w:r>
        <w:t xml:space="preserve"> </w:t>
      </w:r>
      <w:r>
        <w:t xml:space="preserve">if</w:t>
      </w:r>
      <w:r>
        <w:t xml:space="preserve"> </w:t>
      </w:r>
      <w:r>
        <w:t xml:space="preserve">this</w:t>
      </w:r>
      <w:r>
        <w:t xml:space="preserve"> </w:t>
      </w:r>
      <w:r>
        <w:t xml:space="preserve">discrimination</w:t>
      </w:r>
      <w:r>
        <w:t xml:space="preserve"> </w:t>
      </w:r>
      <w:r>
        <w:t xml:space="preserve">is</w:t>
      </w:r>
      <w:r>
        <w:t xml:space="preserve"> </w:t>
      </w:r>
      <w:r>
        <w:t xml:space="preserve">still</w:t>
      </w:r>
      <w:r>
        <w:t xml:space="preserve"> </w:t>
      </w:r>
      <w:r>
        <w:t xml:space="preserve">operational</w:t>
      </w:r>
      <w:r>
        <w:t xml:space="preserve"> </w:t>
      </w:r>
      <w:r>
        <w:t xml:space="preserve">at</w:t>
      </w:r>
      <w:r>
        <w:t xml:space="preserve"> </w:t>
      </w:r>
      <w:r>
        <w:t xml:space="preserve">a</w:t>
      </w:r>
      <w:r>
        <w:t xml:space="preserve"> </w:t>
      </w:r>
      <w:r>
        <w:t xml:space="preserve">coarser</w:t>
      </w:r>
      <w:r>
        <w:t xml:space="preserve"> </w:t>
      </w:r>
      <w:r>
        <w:t xml:space="preserve">spatial</w:t>
      </w:r>
      <w:r>
        <w:t xml:space="preserve"> </w:t>
      </w:r>
      <w:r>
        <w:t xml:space="preserve">resolution.</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the land and oceans</w:t>
      </w:r>
      <w:r>
        <w:t xml:space="preserve"> </w:t>
      </w:r>
      <w:r>
        <w:t xml:space="preserve">(Unsworth et al., 2022)</w:t>
      </w:r>
      <w:r>
        <w:t xml:space="preserve">. Seagrass meadows provide a myriad of ecosystem services to humanity, including carbon sequestration, oxygen production, 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 ; Rasheed and Unsworth, 2011 ; Chefaoui et al., 2018)</w:t>
      </w:r>
      <w:r>
        <w:t xml:space="preserve">. Both habitat fragmentation and reduction, in turn, can severely compromise the effectiveness of ecosystem services provided by seagrass meadows.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associated to excessive accumulation of green macroalgae, so-called green tides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Cs/>
          <w:i/>
        </w:rPr>
        <w:t xml:space="preserve">in situ</w:t>
      </w:r>
      <w:r>
        <w:t xml:space="preserve"> </w:t>
      </w:r>
      <w:r>
        <w:t xml:space="preserve">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a coarse spatial resolution (&gt;100m) over these restricted extension areas. Missions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Therefore, to someone not specialized in the field, their spectral signatures may appear to be alike</w:t>
      </w:r>
      <w:r>
        <w:t xml:space="preserve"> </w:t>
      </w:r>
      <w:r>
        <w:t xml:space="preserve">(Davies et al., 2023a ; Bannari et al., 2022)</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a green tide.</w:t>
      </w:r>
    </w:p>
    <w:p>
      <w:pPr>
        <w:pStyle w:val="BodyText"/>
      </w:pPr>
      <w:r>
        <w:t xml:space="preserve">Drones can potentially fill the gaps left by satellite RS and in situ measurements, due to their ability to provide spatially-explicit observations at very high spatial resolutions (pixel size from cm to mm) while capturing data at multi-spectral resolution</w:t>
      </w:r>
      <w:r>
        <w:t xml:space="preserve"> </w:t>
      </w:r>
      <w:r>
        <w:t xml:space="preserve">(Fairley et al., 2022 ; Oh et al., 2017)</w:t>
      </w:r>
      <w:r>
        <w:t xml:space="preserve">. The versatility of drones allows for their application across a diverse thematic range,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case studies are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RS to map intertidal macrophytes, with a particular focus on discriminating Magnoliopsida and Chlorophyceae (Seagrass and Green Algae respectively). Ten drone flights were performed over soft-bottom intertidal areas along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w:t>
      </w:r>
    </w:p>
    <w:bookmarkEnd w:id="20"/>
    <w:bookmarkStart w:id="56"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the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900m wide channel. A total of 53 small islands are scattered across the gulf leading to 250 km of shorelines. Patchy seagrass meadows can be found on a lot of these islands. Within the Gulf of Morbihan we chose two sites : one located on one of the gulf’s islands (Arz island) and the other located in the southern part of the gulf (Duer). Two other sites were located in Bourgneuf Bay, France (46.9849°N, 2.1488°W). This bay is 340 km² semi-enclosed macrotidal bay, protected from waves by Noirmoutier Island. Bourgneuf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contained monospecific beds of</w:t>
      </w:r>
      <w:r>
        <w:t xml:space="preserve"> </w:t>
      </w:r>
      <w:r>
        <w:rPr>
          <w:iCs/>
          <w:i/>
        </w:rPr>
        <w:t xml:space="preserve">Nanozostera noltei</w:t>
      </w:r>
      <w:r>
        <w:t xml:space="preserve"> </w:t>
      </w:r>
      <w:r>
        <w:t xml:space="preserve">(dwarf eelgrass) with very little mixing with other macrophytes. Three sites were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was a mudflat located in a tributary river of the lagoon whereas the two other sites (Mataducos and Marinha Lanzarote) were situated in the middle of the lagoon and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intermingle with red, brown and green macroalgae.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Bourgneuf Bay (Two sites), C: Ria de Aveiro Coastal Lagoon (Three sites). Green represents intertidal areas.</w:t>
            </w:r>
          </w:p>
          <w:bookmarkEnd w:id="24"/>
        </w:tc>
      </w:tr>
    </w:tbl>
    <w:bookmarkEnd w:id="25"/>
    <w:bookmarkEnd w:id="26"/>
    <w:bookmarkStart w:id="38" w:name="field-sampling"/>
    <w:p>
      <w:pPr>
        <w:pStyle w:val="Heading2"/>
      </w:pPr>
      <w:r>
        <w:t xml:space="preserve">2.2 Field sampling</w:t>
      </w:r>
    </w:p>
    <w:bookmarkStart w:id="31" w:name="drone-acquisition"/>
    <w:p>
      <w:pPr>
        <w:pStyle w:val="Heading3"/>
      </w:pPr>
      <w:r>
        <w:t xml:space="preserve">2.2.1 Drone acquisition</w:t>
      </w:r>
    </w:p>
    <w:p>
      <w:pPr>
        <w:pStyle w:val="FirstParagraph"/>
      </w:pPr>
      <w:r>
        <w:t xml:space="preserve">At each location, a DJI Matrice 200 quadcopter drone equipped with a Micasense RedEdge Dual MX multispectral camera was flown to take 1.2-million-pixel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t>
      </w:r>
      <w:hyperlink w:anchor="tbl-flights">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 w:name="tbl-flights"/>
          <w:p>
            <w:pPr>
              <w:jc w:val="center"/>
            </w:pPr>
            <w:pPr>
              <w:jc w:val="start"/>
              <w:spacing w:before="200"/>
              <w:pStyle w:val="ImageCaption"/>
            </w:pPr>
            <w:r>
              <w:t xml:space="preserve">Table 1: List of drone flight, summarizing the date, the altitude and the purpose of each flight. 12 m and 120 m flights have a spatial resolution of 8 and 80 mm respectively.</w:t>
            </w:r>
          </w:p>
          <w:p>
            <w:pPr>
              <w:jc w:val="center"/>
            </w:pPr>
            <w:r>
              <w:drawing>
                <wp:inline>
                  <wp:extent cx="5334000" cy="2334630"/>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334000" cy="2334630"/>
                          </a:xfrm>
                          <a:prstGeom prst="rect">
                            <a:avLst/>
                          </a:prstGeom>
                          <a:noFill/>
                          <a:ln w="9525">
                            <a:noFill/>
                            <a:headEnd/>
                            <a:tailEnd/>
                          </a:ln>
                        </pic:spPr>
                      </pic:pic>
                    </a:graphicData>
                  </a:graphic>
                </wp:inline>
              </w:drawing>
            </w:r>
          </w:p>
          <w:bookmarkEnd w:id="30"/>
        </w:tc>
      </w:tr>
    </w:tbl>
    <w:bookmarkEnd w:id="31"/>
    <w:bookmarkStart w:id="37" w:name="ground-control-points"/>
    <w:p>
      <w:pPr>
        <w:pStyle w:val="Heading3"/>
      </w:pPr>
      <w:r>
        <w:t xml:space="preserve">2.2.2 Ground Control Points</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georeferenced quadrats of 0.25 m² assessing the presence or absence of five key taxonomic classes of intertidal vegetation : Bacillariophyceae (Unicellular benthic diatoms forming biofilms at the sediment surface during low tide), Phaeophyceae (brown macroalgae), Magnoliopsida (dwarf seagrass), Chlorophyceae (green macroalgae) and Rhodophyceae (red macroalgae) (</w:t>
      </w:r>
      <w:hyperlink w:anchor="fig-vegetation">
        <w:r>
          <w:rPr>
            <w:rStyle w:val="Hyperlink"/>
          </w:rPr>
          <w:t xml:space="preserve">Figure 2</w:t>
        </w:r>
      </w:hyperlink>
      <w:r>
        <w:t xml:space="preserve">). Pictures of each quadrat were uploaded online to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quadrats, the hyperspectral reflectance signatures of each vegetation class was measured using an ASD FieldSpec HandHeld 2 spectroradiometer, which acquires reflectance between 325 and 1075 nm, with 1 nm of spectral resolution. Hyperspectral signatures from quadrats serve for dual purposes: they validate the radiometric calibration of drone data and contribute to error reduction in photo interpretation. The workflow developed in this study is presented in</w:t>
      </w:r>
      <w:r>
        <w:t xml:space="preserve"> </w:t>
      </w:r>
      <w:hyperlink w:anchor="fig-workflow">
        <w:r>
          <w:rPr>
            <w:rStyle w:val="Hyperlink"/>
          </w:rPr>
          <w:t xml:space="preserve">Figure 3</w:t>
        </w:r>
      </w:hyperlink>
      <w:r>
        <w:t xml:space="preserve">.</w:t>
      </w:r>
    </w:p>
    <w:bookmarkStart w:id="36" w:name="cell-fig-vegetation"/>
    <w:tbl>
      <w:tblPr>
        <w:tblStyle w:val="Table"/>
        <w:tblW w:type="pct" w:w="5000"/>
        <w:tblLook w:firstRow="0" w:lastRow="0" w:firstColumn="0" w:lastColumn="0" w:noHBand="0" w:noVBand="0" w:val="0000"/>
        <w:jc w:val="start"/>
        <w:tblLayout w:type="fixed"/>
      </w:tblPr>
      <w:tblGrid>
        <w:gridCol w:w="7920"/>
      </w:tblGrid>
      <w:tr>
        <w:tc>
          <w:tcPr/>
          <w:bookmarkStart w:id="35" w:name="fig-vegetation"/>
          <w:p>
            <w:pPr>
              <w:pStyle w:val="Compact"/>
              <w:jc w:val="center"/>
            </w:pPr>
            <w:r>
              <w:drawing>
                <wp:inline>
                  <wp:extent cx="1831088" cy="128176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w:t>
            </w:r>
          </w:p>
          <w:bookmarkEnd w:id="35"/>
        </w:tc>
      </w:tr>
    </w:tbl>
    <w:bookmarkEnd w:id="36"/>
    <w:bookmarkEnd w:id="37"/>
    <w:bookmarkEnd w:id="38"/>
    <w:bookmarkStart w:id="39" w:name="drone-processing"/>
    <w:p>
      <w:pPr>
        <w:pStyle w:val="Heading2"/>
      </w:pPr>
      <w:r>
        <w:t xml:space="preserve">2.3 Drone Processing</w:t>
      </w:r>
    </w:p>
    <w:p>
      <w:pPr>
        <w:pStyle w:val="FirstParagraph"/>
      </w:pPr>
      <w:r>
        <w:t xml:space="preserve">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Low altitude drone flights produced ortho-images with a very high spatial resolution (8 mm per pixel), making it efficient to visually distinguish between the various types of vegetation. High altitude fights on the other hand allowed to cover large areas and produced images with a pixel size of 80 mm (</w:t>
      </w:r>
      <w:hyperlink w:anchor="tbl-flights">
        <w:r>
          <w:rPr>
            <w:rStyle w:val="Hyperlink"/>
          </w:rPr>
          <w:t xml:space="preserve">Table 1</w:t>
        </w:r>
      </w:hyperlink>
      <w:r>
        <w:t xml:space="preserve">).</w:t>
      </w:r>
    </w:p>
    <w:bookmarkEnd w:id="39"/>
    <w:bookmarkStart w:id="53" w:name="general-workflow"/>
    <w:p>
      <w:pPr>
        <w:pStyle w:val="Heading2"/>
      </w:pPr>
      <w:r>
        <w:t xml:space="preserve">2.4 General Workflow</w:t>
      </w:r>
    </w:p>
    <w:bookmarkStart w:id="44" w:name="cell-fig-workflow"/>
    <w:tbl>
      <w:tblPr>
        <w:tblStyle w:val="Table"/>
        <w:tblW w:type="pct" w:w="5000"/>
        <w:tblLook w:firstRow="0" w:lastRow="0" w:firstColumn="0" w:lastColumn="0" w:noHBand="0" w:noVBand="0" w:val="0000"/>
        <w:jc w:val="start"/>
        <w:tblLayout w:type="fixed"/>
      </w:tblPr>
      <w:tblGrid>
        <w:gridCol w:w="7920"/>
      </w:tblGrid>
      <w:tr>
        <w:tc>
          <w:tcPr/>
          <w:bookmarkStart w:id="43" w:name="fig-workflow"/>
          <w:p>
            <w:pPr>
              <w:pStyle w:val="Compact"/>
              <w:jc w:val="center"/>
            </w:pPr>
            <w:r>
              <w:drawing>
                <wp:inline>
                  <wp:extent cx="5334000" cy="3136503"/>
                  <wp:effectExtent b="0" l="0" r="0" t="0"/>
                  <wp:docPr descr="" title="" id="41" name="Picture"/>
                  <a:graphic>
                    <a:graphicData uri="http://schemas.openxmlformats.org/drawingml/2006/picture">
                      <pic:pic>
                        <pic:nvPicPr>
                          <pic:cNvPr descr="./Figures/Low_res/Figure3_workflow.png" id="42" name="Picture"/>
                          <pic:cNvPicPr>
                            <a:picLocks noChangeArrowheads="1" noChangeAspect="1"/>
                          </pic:cNvPicPr>
                        </pic:nvPicPr>
                        <pic:blipFill>
                          <a:blip r:embed="rId40"/>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3"/>
        </w:tc>
      </w:tr>
    </w:tbl>
    <w:bookmarkEnd w:id="44"/>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w:t>
        </w:r>
      </w:hyperlink>
      <w:r>
        <w:t xml:space="preserve">).</w:t>
      </w:r>
    </w:p>
    <w:bookmarkStart w:id="51" w:name="neural-network-model-building"/>
    <w:p>
      <w:pPr>
        <w:pStyle w:val="Heading3"/>
      </w:pPr>
      <w:r>
        <w:t xml:space="preserve">2.4.1 Neural Network model building</w:t>
      </w:r>
    </w:p>
    <w:tbl>
      <w:tblPr>
        <w:tblStyle w:val="Table"/>
        <w:tblW w:type="pct" w:w="5000"/>
        <w:tblLook w:firstRow="0" w:lastRow="0" w:firstColumn="0" w:lastColumn="0" w:noHBand="0" w:noVBand="0" w:val="0000"/>
        <w:jc w:val="start"/>
        <w:tblLayout w:type="fixed"/>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5334000" cy="1463499"/>
                          </a:xfrm>
                          <a:prstGeom prst="rect">
                            <a:avLst/>
                          </a:prstGeom>
                          <a:noFill/>
                          <a:ln w="9525">
                            <a:noFill/>
                            <a:headEnd/>
                            <a:tailEnd/>
                          </a:ln>
                        </pic:spPr>
                      </pic:pic>
                    </a:graphicData>
                  </a:graphic>
                </wp:inline>
              </w:drawing>
            </w:r>
          </w:p>
          <w:bookmarkEnd w:id="48"/>
        </w:tc>
      </w:tr>
    </w:tbl>
    <w:p>
      <w:pPr>
        <w:pStyle w:val="BodyText"/>
      </w:pPr>
      <w:r>
        <w:t xml:space="preserve">A dataset containing photo-interpreted drone reflectance pixels was built to train a Neural Network model with 2 hidden layers.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allowed to avoid spectral sub-pixel mixing and to accurately identify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Standardization of spectral bands is commonly used to eliminate the scaling differences between spectra and to limit the effect of biomass on the spectra shape</w:t>
      </w:r>
      <w:r>
        <w:t xml:space="preserve"> </w:t>
      </w:r>
      <w:r>
        <w:t xml:space="preserve">(Douay et al., 2022 ; Davies et al., 2023a)</w:t>
      </w:r>
      <w:r>
        <w:t xml:space="preserve">.</w:t>
      </w:r>
    </w:p>
    <w:p>
      <w:pPr>
        <w:pStyle w:val="BodyText"/>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validation"/>
    <w:p>
      <w:pPr>
        <w:pStyle w:val="Heading3"/>
      </w:pPr>
      <w:r>
        <w:t xml:space="preserve">2.4.2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 All validation matrices were then aggregated to create a unique matrix. Altogether, a total of 536,000 pixels was used to validate the model, thus providing a geographically robust validation dataset.</w:t>
      </w:r>
    </w:p>
    <w:bookmarkEnd w:id="52"/>
    <w:bookmarkEnd w:id="53"/>
    <w:bookmarkStart w:id="54" w:name="variable-importance-plots-vip"/>
    <w:p>
      <w:pPr>
        <w:pStyle w:val="Heading2"/>
      </w:pPr>
      <w:r>
        <w:t xml:space="preserve">2.5 Variable Importance Plots (VIP)</w:t>
      </w:r>
    </w:p>
    <w:p>
      <w:pPr>
        <w:pStyle w:val="FirstParagraph"/>
      </w:pPr>
      <w:r>
        <w:t xml:space="preserve">Variable Importance Plots (VIP) serve as a method to identify which predictors are important for predicting a specific class. Out of the 22 predictors utilized in this study, Variable Importance in Projection (VIP) was computed only for the raw and standardized values of the 10 spectral bands captured by the MicaSense camera. This is achieved by repeatedly predicting the same dataset while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4"/>
    <w:bookmarkStart w:id="55" w:name="X9ed14f3ae1aa0bfb80a0994102bf58766751137"/>
    <w:p>
      <w:pPr>
        <w:pStyle w:val="Heading2"/>
      </w:pPr>
      <w:r>
        <w:t xml:space="preserve">2.6 Impact of the percent cover on the prediction</w:t>
      </w:r>
    </w:p>
    <w:p>
      <w:pPr>
        <w:pStyle w:val="FirstParagraph"/>
      </w:pPr>
      <w:r>
        <w:t xml:space="preserve">The key aspect of the workflow adopted in the present study is the mapping of specific areas at two different altitudes (12m and 120m), resulting in two distinct resolutions for the same area (8mm and 80mm). The predictions made on the high-resolution flight can be used to estimate the percent cover of each vegetation class for every pixel of the lower resolution flight. Consequently, for each pixel of the high-altitude flights, percent covers of each vegetation class were obtained, and a kernel density plot was generated. This plot provides a visual representation of the behavior of the model in different vegetation percent cover scenarios.</w:t>
      </w:r>
    </w:p>
    <w:bookmarkEnd w:id="55"/>
    <w:bookmarkEnd w:id="56"/>
    <w:bookmarkStart w:id="103" w:name="results"/>
    <w:p>
      <w:pPr>
        <w:pStyle w:val="Heading1"/>
      </w:pPr>
      <w:r>
        <w:t xml:space="preserve">3. Results</w:t>
      </w:r>
    </w:p>
    <w:bookmarkStart w:id="77" w:name="classification"/>
    <w:p>
      <w:pPr>
        <w:pStyle w:val="Heading2"/>
      </w:pPr>
      <w:r>
        <w:t xml:space="preserve">3.1 Classification</w:t>
      </w:r>
    </w:p>
    <w:p>
      <w:pPr>
        <w:pStyle w:val="FirstParagraph"/>
      </w:pPr>
      <w:r>
        <w:t xml:space="preserve">The nine drone flights were utilized to produce a total of nine prediction maps, each of them associated with a probability map that indicates the probability of the selected class for every pixel. The low-altitude flight conducted in Gafanha, Portugal, represents the site with the highest complexity (</w:t>
      </w:r>
      <w:hyperlink w:anchor="fig-GafLow">
        <w:r>
          <w:rPr>
            <w:rStyle w:val="Hyperlink"/>
          </w:rPr>
          <w:t xml:space="preserve">Figure 4</w:t>
        </w:r>
      </w:hyperlink>
      <w:r>
        <w:t xml:space="preserve">). Among the five vegetation classes on which the model was trained, four were present on this site, with Chlorophyceae and Rhodophyceae mixed with the seagrass meadow. There was also Bacillariophyceae forming biofilms on parts of sediment surface. Although the seagrass bed was solely composed of</w:t>
      </w:r>
      <w:r>
        <w:t xml:space="preserve"> </w:t>
      </w:r>
      <w:r>
        <w:rPr>
          <w:iCs/>
          <w:i/>
        </w:rPr>
        <w:t xml:space="preserve">Nanozostera noltei</w:t>
      </w:r>
      <w:r>
        <w:t xml:space="preserve">, various colors of this specie could be observed from dark green (corresponding to healthy leaves) to whitish/brown (when leaves were discolored having lost their pigmentation). Regardless of color, Magnoliopsida pixels were accurately predicted by the model.</w:t>
      </w:r>
    </w:p>
    <w:bookmarkStart w:id="61" w:name="cell-fig-GafLow"/>
    <w:tbl>
      <w:tblPr>
        <w:tblStyle w:val="Table"/>
        <w:tblW w:type="pct" w:w="5000"/>
        <w:tblLook w:firstRow="0" w:lastRow="0" w:firstColumn="0" w:lastColumn="0" w:noHBand="0" w:noVBand="0" w:val="0000"/>
        <w:jc w:val="start"/>
        <w:tblLayout w:type="fixed"/>
      </w:tblPr>
      <w:tblGrid>
        <w:gridCol w:w="7920"/>
      </w:tblGrid>
      <w:tr>
        <w:tc>
          <w:tcPr/>
          <w:bookmarkStart w:id="60" w:name="fig-GafLow"/>
          <w:p>
            <w:pPr>
              <w:pStyle w:val="Compact"/>
              <w:jc w:val="center"/>
            </w:pPr>
            <w:r>
              <w:drawing>
                <wp:inline>
                  <wp:extent cx="5334000" cy="2803128"/>
                  <wp:effectExtent b="0" l="0" r="0" t="0"/>
                  <wp:docPr descr="" title="" id="58" name="Picture"/>
                  <a:graphic>
                    <a:graphicData uri="http://schemas.openxmlformats.org/drawingml/2006/picture">
                      <pic:pic>
                        <pic:nvPicPr>
                          <pic:cNvPr descr="./Figures/Low_res/Maps%20Pred/FigX-Gaf_Low_Pred.png" id="59" name="Picture"/>
                          <pic:cNvPicPr>
                            <a:picLocks noChangeArrowheads="1" noChangeAspect="1"/>
                          </pic:cNvPicPr>
                        </pic:nvPicPr>
                        <pic:blipFill>
                          <a:blip r:embed="rId57"/>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Gafanha, Portugal. The total extent of this flight was 3000m² with a resolution of 8 mm per pixel. Background colors indicate intertidal area (Light Green) and land area (Light Grey). The zoom covers an area equivalent to a 10-meter Sentinel-2 pixel size.</w:t>
            </w:r>
          </w:p>
          <w:bookmarkEnd w:id="60"/>
        </w:tc>
      </w:tr>
    </w:tbl>
    <w:bookmarkEnd w:id="61"/>
    <w:p>
      <w:pPr>
        <w:pStyle w:val="BodyText"/>
      </w:pPr>
      <w:r>
        <w:t xml:space="preserve">The high-altitude flight over Gafanha covered a total area of approximately 1 km² (</w:t>
      </w:r>
      <w:hyperlink w:anchor="fig-GafHigh">
        <w:r>
          <w:rPr>
            <w:rStyle w:val="Hyperlink"/>
          </w:rPr>
          <w:t xml:space="preserve">Figure 5</w:t>
        </w:r>
      </w:hyperlink>
      <w:r>
        <w:t xml:space="preserve">). A channel contouring a small island was masked in the prediction map. Most of the intertidal area was classified as Magnoliopsida by the model, including seagrass patches with discolored leaves. Only a few pixels were classified as Chlorophyceae at this spatial scale. Furthermore, the area that was classified as Bacillariophyceae in the low-altitude flight remained mostly classified as such in the high-altitude flight, though some pixels were classified as Magnoliopsida. Patches of Rhodophyceae were correctly classified. In the northern part of the site and near the land edges, patches of the schorre angiosperm</w:t>
      </w:r>
      <w:r>
        <w:t xml:space="preserve"> </w:t>
      </w:r>
      <w:r>
        <w:rPr>
          <w:iCs/>
          <w:i/>
        </w:rPr>
        <w:t xml:space="preserve">Spartina sp.</w:t>
      </w:r>
      <w:r>
        <w:t xml:space="preserve"> </w:t>
      </w:r>
      <w:r>
        <w:t xml:space="preserve">were misclassified, either as Magnoliopsida or as Phaeophyceae.</w:t>
      </w:r>
    </w:p>
    <w:bookmarkStart w:id="66" w:name="cell-fig-GafHigh"/>
    <w:tbl>
      <w:tblPr>
        <w:tblStyle w:val="Table"/>
        <w:tblW w:type="pct" w:w="5000"/>
        <w:tblLook w:firstRow="0" w:lastRow="0" w:firstColumn="0" w:lastColumn="0" w:noHBand="0" w:noVBand="0" w:val="0000"/>
        <w:jc w:val="start"/>
        <w:tblLayout w:type="fixed"/>
      </w:tblPr>
      <w:tblGrid>
        <w:gridCol w:w="7920"/>
      </w:tblGrid>
      <w:tr>
        <w:tc>
          <w:tcPr/>
          <w:bookmarkStart w:id="65" w:name="fig-GafHigh"/>
          <w:p>
            <w:pPr>
              <w:pStyle w:val="Compact"/>
              <w:jc w:val="center"/>
            </w:pPr>
            <w:r>
              <w:drawing>
                <wp:inline>
                  <wp:extent cx="3899197" cy="3333431"/>
                  <wp:effectExtent b="0" l="0" r="0" t="0"/>
                  <wp:docPr descr="" title="" id="63" name="Picture"/>
                  <a:graphic>
                    <a:graphicData uri="http://schemas.openxmlformats.org/drawingml/2006/picture">
                      <pic:pic>
                        <pic:nvPicPr>
                          <pic:cNvPr descr="./Figures/Low_res/Maps%20Pred/FigX-Gaf_High_Pred.png" id="64" name="Picture"/>
                          <pic:cNvPicPr>
                            <a:picLocks noChangeArrowheads="1" noChangeAspect="1"/>
                          </pic:cNvPicPr>
                        </pic:nvPicPr>
                        <pic:blipFill>
                          <a:blip r:embed="rId62"/>
                          <a:stretch>
                            <a:fillRect/>
                          </a:stretch>
                        </pic:blipFill>
                        <pic:spPr bwMode="auto">
                          <a:xfrm>
                            <a:off x="0" y="0"/>
                            <a:ext cx="3899197"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polygon shows the extent of the low altitude flight of Gafanha presented in</w:t>
            </w:r>
            <w:r>
              <w:t xml:space="preserve"> </w:t>
            </w:r>
            <w:hyperlink w:anchor="fig-GafLow">
              <w:r>
                <w:rPr>
                  <w:rStyle w:val="Hyperlink"/>
                </w:rPr>
                <w:t xml:space="preserve">Figure 4</w:t>
              </w:r>
            </w:hyperlink>
            <w:r>
              <w:t xml:space="preserve">. The zoom covers an area equivalent to a 10-meter Sentinel-2 pixel size.</w:t>
            </w:r>
          </w:p>
          <w:bookmarkEnd w:id="65"/>
        </w:tc>
      </w:tr>
    </w:tbl>
    <w:bookmarkEnd w:id="66"/>
    <w:p>
      <w:pPr>
        <w:pStyle w:val="BodyText"/>
      </w:pPr>
      <w:r>
        <w:t xml:space="preserve">Among the high altitude flights, the one acquired over the inner lagoon of the Ria de Aveiro covered the largest area with approximately 1.5 km² (</w:t>
      </w:r>
      <w:hyperlink w:anchor="fig-Boat">
        <w:r>
          <w:rPr>
            <w:rStyle w:val="Hyperlink"/>
          </w:rPr>
          <w:t xml:space="preserve">Figure 6</w:t>
        </w:r>
      </w:hyperlink>
      <w:r>
        <w:t xml:space="preserve">). This site was dominated by seagrass and the red macroalgae</w:t>
      </w:r>
      <w:r>
        <w:t xml:space="preserve"> </w:t>
      </w:r>
      <w:r>
        <w:rPr>
          <w:iCs/>
          <w:i/>
        </w:rPr>
        <w:t xml:space="preserve">Gracilaria vermicullophyla</w:t>
      </w:r>
      <w:r>
        <w:t xml:space="preserve">. The classification provided consistent results, with a patchy seagrass meadow mixed with red macroalgae on the eastern part of the site. As shown in the zoom (</w:t>
      </w:r>
      <w:hyperlink w:anchor="fig-Boat">
        <w:r>
          <w:rPr>
            <w:rStyle w:val="Hyperlink"/>
          </w:rPr>
          <w:t xml:space="preserve">Figure 6</w:t>
        </w:r>
      </w:hyperlink>
      <w:r>
        <w:t xml:space="preserve">), the edges of the meadow were colonized by green macroalgae</w:t>
      </w:r>
    </w:p>
    <w:bookmarkStart w:id="71" w:name="cell-fig-Boat"/>
    <w:tbl>
      <w:tblPr>
        <w:tblStyle w:val="Table"/>
        <w:tblW w:type="pct" w:w="5000"/>
        <w:tblLook w:firstRow="0" w:lastRow="0" w:firstColumn="0" w:lastColumn="0" w:noHBand="0" w:noVBand="0" w:val="0000"/>
        <w:jc w:val="start"/>
        <w:tblLayout w:type="fixed"/>
      </w:tblPr>
      <w:tblGrid>
        <w:gridCol w:w="7920"/>
      </w:tblGrid>
      <w:tr>
        <w:tc>
          <w:tcPr/>
          <w:bookmarkStart w:id="70" w:name="fig-Boat"/>
          <w:p>
            <w:pPr>
              <w:pStyle w:val="Compact"/>
              <w:jc w:val="center"/>
            </w:pPr>
            <w:r>
              <w:drawing>
                <wp:inline>
                  <wp:extent cx="2587232" cy="3425177"/>
                  <wp:effectExtent b="0" l="0" r="0" t="0"/>
                  <wp:docPr descr="" title="" id="68" name="Picture"/>
                  <a:graphic>
                    <a:graphicData uri="http://schemas.openxmlformats.org/drawingml/2006/picture">
                      <pic:pic>
                        <pic:nvPicPr>
                          <pic:cNvPr descr="./Figures/Low_res/Maps%20Pred/FigX-Boat_Pred.png" id="69" name="Picture"/>
                          <pic:cNvPicPr>
                            <a:picLocks noChangeArrowheads="1" noChangeAspect="1"/>
                          </pic:cNvPicPr>
                        </pic:nvPicPr>
                        <pic:blipFill>
                          <a:blip r:embed="rId67"/>
                          <a:stretch>
                            <a:fillRect/>
                          </a:stretch>
                        </pic:blipFill>
                        <pic:spPr bwMode="auto">
                          <a:xfrm>
                            <a:off x="0" y="0"/>
                            <a:ext cx="2587232"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Sentinel-2 pixel size.</w:t>
            </w:r>
          </w:p>
          <w:bookmarkEnd w:id="70"/>
        </w:tc>
      </w:tr>
    </w:tbl>
    <w:bookmarkEnd w:id="71"/>
    <w:p>
      <w:pPr>
        <w:pStyle w:val="BodyText"/>
      </w:pPr>
      <w:r>
        <w:t xml:space="preserve">The flight over L’Epine in Noirmoutier Island, France (</w:t>
      </w:r>
      <w:hyperlink w:anchor="fig-Dike">
        <w:r>
          <w:rPr>
            <w:rStyle w:val="Hyperlink"/>
          </w:rPr>
          <w:t xml:space="preserve">Figure 7</w:t>
        </w:r>
      </w:hyperlink>
      <w:r>
        <w:t xml:space="preserve">) was conducted near a dike, which crossed the northern part of the site from west to east. Alongside this dike, brown algae for the order Fucales (</w:t>
      </w:r>
      <w:r>
        <w:rPr>
          <w:iCs/>
          <w:i/>
        </w:rPr>
        <w:t xml:space="preserve">Fucus spp.</w:t>
      </w:r>
      <w:r>
        <w:t xml:space="preserve">,</w:t>
      </w:r>
      <w:r>
        <w:t xml:space="preserve"> </w:t>
      </w:r>
      <w:r>
        <w:rPr>
          <w:iCs/>
          <w:i/>
        </w:rPr>
        <w:t xml:space="preserve">Ascophyllum nodosum</w:t>
      </w:r>
      <w:r>
        <w:t xml:space="preserve">) were attached to sparse rocks and stranded green algae (</w:t>
      </w:r>
      <w:r>
        <w:rPr>
          <w:iCs/>
          <w:i/>
        </w:rPr>
        <w:t xml:space="preserve">Ulva spp.</w:t>
      </w:r>
      <w:r>
        <w:t xml:space="preserve">) could be observed Despite the high mixture between Chlorophyceae and Magnoliopsida these two classes were correctly discriminated by the classifier.</w:t>
      </w:r>
    </w:p>
    <w:bookmarkStart w:id="76" w:name="cell-fig-Dike"/>
    <w:tbl>
      <w:tblPr>
        <w:tblStyle w:val="Table"/>
        <w:tblW w:type="pct" w:w="5000"/>
        <w:tblLook w:firstRow="0" w:lastRow="0" w:firstColumn="0" w:lastColumn="0" w:noHBand="0" w:noVBand="0" w:val="0000"/>
        <w:jc w:val="start"/>
        <w:tblLayout w:type="fixed"/>
      </w:tblPr>
      <w:tblGrid>
        <w:gridCol w:w="7920"/>
      </w:tblGrid>
      <w:tr>
        <w:tc>
          <w:tcPr/>
          <w:bookmarkStart w:id="75" w:name="fig-Dike"/>
          <w:p>
            <w:pPr>
              <w:pStyle w:val="Compact"/>
              <w:jc w:val="center"/>
            </w:pPr>
            <w:r>
              <w:drawing>
                <wp:inline>
                  <wp:extent cx="3293674" cy="2752374"/>
                  <wp:effectExtent b="0" l="0" r="0" t="0"/>
                  <wp:docPr descr="" title="" id="73" name="Picture"/>
                  <a:graphic>
                    <a:graphicData uri="http://schemas.openxmlformats.org/drawingml/2006/picture">
                      <pic:pic>
                        <pic:nvPicPr>
                          <pic:cNvPr descr="./Figures/Low_res/Maps%20Pred/FigX-Dike_Pred.png" id="74" name="Picture"/>
                          <pic:cNvPicPr>
                            <a:picLocks noChangeArrowheads="1" noChangeAspect="1"/>
                          </pic:cNvPicPr>
                        </pic:nvPicPr>
                        <pic:blipFill>
                          <a:blip r:embed="rId72"/>
                          <a:stretch>
                            <a:fillRect/>
                          </a:stretch>
                        </pic:blipFill>
                        <pic:spPr bwMode="auto">
                          <a:xfrm>
                            <a:off x="0" y="0"/>
                            <a:ext cx="3293674"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Northern part of Noirmoutier Island, France. The total extent of this flight was about 28 000 m² with a resolution of 80 mm per pixel. Background colors indicate intertidal area (Light Green) and land area (Light Grey). The zoom covers an area equivalent to a 10-meter Sentinel-2 pixel size.</w:t>
            </w:r>
          </w:p>
          <w:bookmarkEnd w:id="75"/>
        </w:tc>
      </w:tr>
    </w:tbl>
    <w:bookmarkEnd w:id="76"/>
    <w:bookmarkEnd w:id="77"/>
    <w:bookmarkStart w:id="90" w:name="validation-1"/>
    <w:p>
      <w:pPr>
        <w:pStyle w:val="Heading2"/>
      </w:pPr>
      <w:r>
        <w:t xml:space="preserve">3.2 Validation</w:t>
      </w:r>
    </w:p>
    <w:bookmarkStart w:id="83" w:name="Xf1ee785dcb5d546ca07f6c913dc8f3105a0e5cf"/>
    <w:p>
      <w:pPr>
        <w:pStyle w:val="Heading3"/>
      </w:pPr>
      <w:r>
        <w:t xml:space="preserve">3.2.1 Reflectance comparison between the two different altitudes</w:t>
      </w:r>
    </w:p>
    <w:bookmarkStart w:id="82" w:name="cell-fig-CompareRef"/>
    <w:tbl>
      <w:tblPr>
        <w:tblStyle w:val="Table"/>
        <w:tblW w:type="pct" w:w="5000"/>
        <w:tblLook w:firstRow="0" w:lastRow="0" w:firstColumn="0" w:lastColumn="0" w:noHBand="0" w:noVBand="0" w:val="0000"/>
        <w:jc w:val="start"/>
        <w:tblLayout w:type="fixed"/>
      </w:tblPr>
      <w:tblGrid>
        <w:gridCol w:w="7920"/>
      </w:tblGrid>
      <w:tr>
        <w:tc>
          <w:tcPr/>
          <w:bookmarkStart w:id="81" w:name="fig-CompareRef"/>
          <w:p>
            <w:pPr>
              <w:pStyle w:val="Compact"/>
              <w:jc w:val="center"/>
            </w:pPr>
            <w:r>
              <w:drawing>
                <wp:inline>
                  <wp:extent cx="5334000" cy="2290564"/>
                  <wp:effectExtent b="0" l="0" r="0" t="0"/>
                  <wp:docPr descr="" title="" id="79" name="Picture"/>
                  <a:graphic>
                    <a:graphicData uri="http://schemas.openxmlformats.org/drawingml/2006/picture">
                      <pic:pic>
                        <pic:nvPicPr>
                          <pic:cNvPr descr="./Figures/High_res/Compare_reflectance_both.png" id="80" name="Picture"/>
                          <pic:cNvPicPr>
                            <a:picLocks noChangeArrowheads="1" noChangeAspect="1"/>
                          </pic:cNvPicPr>
                        </pic:nvPicPr>
                        <pic:blipFill>
                          <a:blip r:embed="rId78"/>
                          <a:stretch>
                            <a:fillRect/>
                          </a:stretch>
                        </pic:blipFill>
                        <pic:spPr bwMode="auto">
                          <a:xfrm>
                            <a:off x="0" y="0"/>
                            <a:ext cx="5334000" cy="2290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1</w:t>
              </w:r>
            </w:hyperlink>
            <w:r>
              <w:t xml:space="preserve">).</w:t>
            </w:r>
          </w:p>
          <w:bookmarkEnd w:id="81"/>
        </w:tc>
      </w:tr>
    </w:tbl>
    <w:bookmarkEnd w:id="82"/>
    <w:p>
      <w:pPr>
        <w:pStyle w:val="BodyText"/>
      </w:pPr>
      <w:r>
        <w:t xml:space="preserve">In this study, a key innovation lies in the utilization of drone flights at two different altitudes (12m and 120m) for constructing the neural network model. The lower altitude flights (8mm spatial resolution) enabled precise selection of pure pixels to train the neural network model. This methodology implies a consistency between the reflectance of both altitudes.</w:t>
      </w:r>
      <w:r>
        <w:t xml:space="preserve"> </w:t>
      </w:r>
      <w:hyperlink w:anchor="fig-CompareRef">
        <w:r>
          <w:rPr>
            <w:rStyle w:val="Hyperlink"/>
          </w:rPr>
          <w:t xml:space="preserve">Figure 8</w:t>
        </w:r>
      </w:hyperlink>
      <w:r>
        <w:t xml:space="preserve"> </w:t>
      </w:r>
      <w:r>
        <w:t xml:space="preserve">depicts the relationship between reflectance from a low and a high-altitude flights conducted over the same area. Overall there was a good agreement between the two altitudes. There was however a slight underestimation for raw reflectance values in the high-altitude flight, particularly for higher reflectance values (</w:t>
      </w:r>
      <w:hyperlink w:anchor="fig-CompareRef">
        <w:r>
          <w:rPr>
            <w:rStyle w:val="Hyperlink"/>
          </w:rPr>
          <w:t xml:space="preserve">Figure 8</w:t>
        </w:r>
      </w:hyperlink>
      <w:r>
        <w:t xml:space="preserve"> </w:t>
      </w:r>
      <w:r>
        <w:t xml:space="preserve">A). Since both flights were conducted over vegetation areas, the highest reflectance values correspond to the infrared part of the spectrum. This different is not present anymore when reflectance values of both flights have been standardized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8</w:t>
        </w:r>
      </w:hyperlink>
      <w:r>
        <w:t xml:space="preserve"> </w:t>
      </w:r>
      <w:r>
        <w:t xml:space="preserve">B).</w:t>
      </w:r>
    </w:p>
    <w:bookmarkEnd w:id="83"/>
    <w:bookmarkStart w:id="89" w:name="neural-network-classification-validation"/>
    <w:p>
      <w:pPr>
        <w:pStyle w:val="Heading3"/>
      </w:pPr>
      <w:r>
        <w:t xml:space="preserve">3.2.2 Neural network classification validation</w:t>
      </w:r>
    </w:p>
    <w:bookmarkStart w:id="88" w:name="cell-fig-Validation"/>
    <w:tbl>
      <w:tblPr>
        <w:tblStyle w:val="Table"/>
        <w:tblW w:type="pct" w:w="5000"/>
        <w:tblLook w:firstRow="0" w:lastRow="0" w:firstColumn="0" w:lastColumn="0" w:noHBand="0" w:noVBand="0" w:val="0000"/>
        <w:jc w:val="start"/>
        <w:tblLayout w:type="fixed"/>
      </w:tblPr>
      <w:tblGrid>
        <w:gridCol w:w="7920"/>
      </w:tblGrid>
      <w:tr>
        <w:tc>
          <w:tcPr/>
          <w:bookmarkStart w:id="87" w:name="fig-Validation"/>
          <w:p>
            <w:pPr>
              <w:pStyle w:val="Compact"/>
              <w:jc w:val="center"/>
            </w:pPr>
            <w:r>
              <w:drawing>
                <wp:inline>
                  <wp:extent cx="4339577" cy="3003146"/>
                  <wp:effectExtent b="0" l="0" r="0" t="0"/>
                  <wp:docPr descr="" title="" id="85" name="Picture"/>
                  <a:graphic>
                    <a:graphicData uri="http://schemas.openxmlformats.org/drawingml/2006/picture">
                      <pic:pic>
                        <pic:nvPicPr>
                          <pic:cNvPr descr="./Figures/Low_res/Validation/ConfusionMatrixGlobal.png" id="86" name="Picture"/>
                          <pic:cNvPicPr>
                            <a:picLocks noChangeArrowheads="1" noChangeAspect="1"/>
                          </pic:cNvPicPr>
                        </pic:nvPicPr>
                        <pic:blipFill>
                          <a:blip r:embed="rId84"/>
                          <a:stretch>
                            <a:fillRect/>
                          </a:stretch>
                        </pic:blipFill>
                        <pic:spPr bwMode="auto">
                          <a:xfrm>
                            <a:off x="0" y="0"/>
                            <a:ext cx="4339577" cy="3003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87"/>
        </w:tc>
      </w:tr>
    </w:tbl>
    <w:bookmarkEnd w:id="88"/>
    <w:p>
      <w:pPr>
        <w:pStyle w:val="BodyText"/>
      </w:pPr>
      <w:r>
        <w:t xml:space="preserve">A total of 536,000 pixels were used to validate the Neural Network classifier. The sites with the lowest and highest number of validation data were Gafanha Low (17316 pixels) and Marinha Lanzarote (159713 pixels), respectively. Model global accuracy was 94.26% with a Kappa coefficient of 0.92 (</w:t>
      </w:r>
      <w:hyperlink w:anchor="fig-Validation">
        <w:r>
          <w:rPr>
            <w:rStyle w:val="Hyperlink"/>
          </w:rPr>
          <w:t xml:space="preserve">Figure 9</w:t>
        </w:r>
      </w:hyperlink>
      <w:r>
        <w:t xml:space="preserve">). 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with Magnoliopsida and Sediment.</w:t>
      </w:r>
    </w:p>
    <w:bookmarkEnd w:id="89"/>
    <w:bookmarkEnd w:id="90"/>
    <w:bookmarkStart w:id="96" w:name="variable-importance"/>
    <w:p>
      <w:pPr>
        <w:pStyle w:val="Heading2"/>
      </w:pPr>
      <w:r>
        <w:t xml:space="preserve">3.3 Variable importance</w:t>
      </w:r>
    </w:p>
    <w:bookmarkStart w:id="95" w:name="cell-fig-VIP"/>
    <w:tbl>
      <w:tblPr>
        <w:tblStyle w:val="Table"/>
        <w:tblW w:type="pct" w:w="5000"/>
        <w:tblLook w:firstRow="0" w:lastRow="0" w:firstColumn="0" w:lastColumn="0" w:noHBand="0" w:noVBand="0" w:val="0000"/>
        <w:jc w:val="start"/>
        <w:tblLayout w:type="fixed"/>
      </w:tblPr>
      <w:tblGrid>
        <w:gridCol w:w="7920"/>
      </w:tblGrid>
      <w:tr>
        <w:tc>
          <w:tcPr/>
          <w:bookmarkStart w:id="94" w:name="fig-VIP"/>
          <w:p>
            <w:pPr>
              <w:pStyle w:val="Compact"/>
              <w:jc w:val="center"/>
            </w:pPr>
            <w:r>
              <w:drawing>
                <wp:inline>
                  <wp:extent cx="4721851" cy="3452701"/>
                  <wp:effectExtent b="0" l="0" r="0" t="0"/>
                  <wp:docPr descr="" title="" id="92" name="Picture"/>
                  <a:graphic>
                    <a:graphicData uri="http://schemas.openxmlformats.org/drawingml/2006/picture">
                      <pic:pic>
                        <pic:nvPicPr>
                          <pic:cNvPr descr="Figures/Low_res/VIP/Fig_VIP.png" id="93" name="Picture"/>
                          <pic:cNvPicPr>
                            <a:picLocks noChangeArrowheads="1" noChangeAspect="1"/>
                          </pic:cNvPicPr>
                        </pic:nvPicPr>
                        <pic:blipFill>
                          <a:blip r:embed="rId91"/>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bigger the slice, the more important the variable for prediction of each class. The right plot shows the drone raw and standardized reflectance spectra of each class. Each slice represents the VIP of both raw and standardized reflectance combined.</w:t>
            </w:r>
          </w:p>
          <w:bookmarkEnd w:id="94"/>
        </w:tc>
      </w:tr>
    </w:tbl>
    <w:bookmarkEnd w:id="95"/>
    <w:p>
      <w:pPr>
        <w:pStyle w:val="BodyText"/>
      </w:pPr>
      <w:r>
        <w:t xml:space="preserve">The computation of the variable importance made it possible to identify which bands were the most useful for class prediction (</w:t>
      </w:r>
      <w:hyperlink w:anchor="fig-VIP">
        <w:r>
          <w:rPr>
            <w:rStyle w:val="Hyperlink"/>
          </w:rPr>
          <w:t xml:space="preserve">Figure 10</w:t>
        </w:r>
      </w:hyperlink>
      <w:r>
        <w:t xml:space="preserve">). The spectral bands at 444, 717 and 842 nm of the Micasense camera did not provide as important information to discriminate any of the vegetation classes. The band at 531 nm was the only important predictor for the classifier to accurately predict Chlorophyceae. In fact, at this wavelength, the Chlorophyceae spectra showed the highest reflectance among of all vegetation classes.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6"/>
    <w:bookmarkStart w:id="102" w:name="X6a711a8597cc737f9b42c32ad76cef126d40d45"/>
    <w:p>
      <w:pPr>
        <w:pStyle w:val="Heading2"/>
      </w:pPr>
      <w:r>
        <w:t xml:space="preserve">3.4 Effect of the flight height on the prediction</w:t>
      </w:r>
    </w:p>
    <w:bookmarkStart w:id="101" w:name="cell-fig-upscaling"/>
    <w:tbl>
      <w:tblPr>
        <w:tblStyle w:val="Table"/>
        <w:tblW w:type="pct" w:w="5000"/>
        <w:tblLook w:firstRow="0" w:lastRow="0" w:firstColumn="0" w:lastColumn="0" w:noHBand="0" w:noVBand="0" w:val="0000"/>
        <w:jc w:val="start"/>
        <w:tblLayout w:type="fixed"/>
      </w:tblPr>
      <w:tblGrid>
        <w:gridCol w:w="7920"/>
      </w:tblGrid>
      <w:tr>
        <w:tc>
          <w:tcPr/>
          <w:bookmarkStart w:id="100" w:name="fig-upscaling"/>
          <w:p>
            <w:pPr>
              <w:pStyle w:val="Compact"/>
              <w:jc w:val="center"/>
            </w:pPr>
            <w:r>
              <w:drawing>
                <wp:inline>
                  <wp:extent cx="2547475" cy="3419060"/>
                  <wp:effectExtent b="0" l="0" r="0" t="0"/>
                  <wp:docPr descr="" title="" id="98" name="Picture"/>
                  <a:graphic>
                    <a:graphicData uri="http://schemas.openxmlformats.org/drawingml/2006/picture">
                      <pic:pic>
                        <pic:nvPicPr>
                          <pic:cNvPr descr="Figures/Low_res/Upscaling/density_vs_Proportion.png" id="99" name="Picture"/>
                          <pic:cNvPicPr>
                            <a:picLocks noChangeArrowheads="1" noChangeAspect="1"/>
                          </pic:cNvPicPr>
                        </pic:nvPicPr>
                        <pic:blipFill>
                          <a:blip r:embed="rId97"/>
                          <a:stretch>
                            <a:fillRect/>
                          </a:stretch>
                        </pic:blipFill>
                        <pic:spPr bwMode="auto">
                          <a:xfrm>
                            <a:off x="0" y="0"/>
                            <a:ext cx="2547475" cy="3419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 The vertical dashed line shows the 0.85 probability of the model. Everything on the right of this line has a probability higher than 0.85 and everything on the left of this line has a lower probability.</w:t>
            </w:r>
          </w:p>
          <w:bookmarkEnd w:id="100"/>
        </w:tc>
      </w:tr>
    </w:tbl>
    <w:bookmarkEnd w:id="101"/>
    <w:p>
      <w:pPr>
        <w:pStyle w:val="BodyText"/>
      </w:pPr>
      <w:r>
        <w:t xml:space="preserve">Using the very high resolution low altitude flight (8 mm pixels), we determined the minimal percent cover required to correctly classify a given class within the corresponding high altitude flight (</w:t>
      </w:r>
      <w:hyperlink w:anchor="fig-upscaling">
        <w:r>
          <w:rPr>
            <w:rStyle w:val="Hyperlink"/>
          </w:rPr>
          <w:t xml:space="preserve">Figure 11</w:t>
        </w:r>
      </w:hyperlink>
      <w:r>
        <w:t xml:space="preserve">). When the percent cover of a given class was 100 %, coarser high-flight pixels are well classified for all the classes except for Bare Sediment, which was only well classified 80% of the time. This phenomenon is likely attributed to the time gap between the two flights, allowing for microphytobenthos migration to surface during low tide, consequently altering the model’s classification from bare sediment to Bacillariophyceae. A percent cover of at least 80% was sufficient to have all the pixels of high altitude flights correctly classified, with the exception of Magnoliopsida that required a higher percent cover (&gt;90 %) to be well classified. Concerning the probability of each class, the highest percent cover was needed to confidently predict Bacillariophyceae. To predict Chlorophyceae with a confidence of 0.85, a percent cover of 93 % was needed, 90 % for Magnoliopsida, 92 % for Rhodophyceae and 97 % for Bacillariophyceae.</w:t>
      </w:r>
    </w:p>
    <w:bookmarkEnd w:id="102"/>
    <w:bookmarkEnd w:id="103"/>
    <w:bookmarkStart w:id="117" w:name="discussion"/>
    <w:p>
      <w:pPr>
        <w:pStyle w:val="Heading1"/>
      </w:pPr>
      <w:r>
        <w:t xml:space="preserve">4. Discussion</w:t>
      </w:r>
    </w:p>
    <w:bookmarkStart w:id="114" w:name="vegetation-discrimination"/>
    <w:p>
      <w:pPr>
        <w:pStyle w:val="Heading2"/>
      </w:pPr>
      <w:r>
        <w:t xml:space="preserve">4.1 Vegetation Discrimination</w:t>
      </w:r>
    </w:p>
    <w:p>
      <w:pPr>
        <w:pStyle w:val="FirstParagraph"/>
      </w:pPr>
      <w:r>
        <w:t xml:space="preserve">The primary objective of this study was to develop a method for the accurate classification of macrophytes on intertidal mudflats, specifically focusing on distinguishing between Chlorophyceae (green macroalgae) and marine Magnoliopsida (seagrasses) using multispectral drone data. The ability to differentiate between various types of vegetation, as demonstrated in this study, plays a critical role in ecological monitoring and coastal management. By distinguishing between seagrasses and macroalgae, our approach facilitates targeted conservation strategies, enabling more effective preservation and restoration efforts in coastal ecosystems. The discrimination of seagrasses from green macroalgae presents significant challenges</w:t>
      </w:r>
      <w:r>
        <w:t xml:space="preserve"> </w:t>
      </w:r>
      <w:r>
        <w:t xml:space="preserve">(Oiry and Barillé, 2021 ; Bannari et al., 2022 ; Veettil et al., 2020)</w:t>
      </w:r>
      <w:r>
        <w:t xml:space="preserve">, primarily due to the similarities on their spectral signatures in the visible region of the electromagnetic spectra due to shared pigment , </w:t>
      </w:r>
      <w:hyperlink w:anchor="fig-Pigm">
        <w:r>
          <w:rPr>
            <w:rStyle w:val="Hyperlink"/>
          </w:rPr>
          <w:t xml:space="preserve">Figure 12</w:t>
        </w:r>
      </w:hyperlink>
      <w:r>
        <w:t xml:space="preserve">, but also by the frequent spatial mixing of these macrophytes. Besides chlorophyll-a that is common to all vegetation types, these two green macrophytes have in common other photosynthetic pigments such as chlorophyll-b, and accessory carotenoid pigments such as zeaxantin, lutein and neoxanthin (</w:t>
      </w:r>
      <w:hyperlink w:anchor="fig-Pigm">
        <w:r>
          <w:rPr>
            <w:rStyle w:val="Hyperlink"/>
          </w:rPr>
          <w:t xml:space="preserve">Figure 12</w:t>
        </w:r>
      </w:hyperlink>
      <w:r>
        <w:t xml:space="preserve">).</w:t>
      </w:r>
    </w:p>
    <w:bookmarkStart w:id="108" w:name="cell-fig-Pigm"/>
    <w:tbl>
      <w:tblPr>
        <w:tblStyle w:val="Table"/>
        <w:tblW w:type="pct" w:w="5000"/>
        <w:tblLook w:firstRow="0" w:lastRow="0" w:firstColumn="0" w:lastColumn="0" w:noHBand="0" w:noVBand="0" w:val="0000"/>
        <w:jc w:val="start"/>
        <w:tblLayout w:type="fixed"/>
      </w:tblPr>
      <w:tblGrid>
        <w:gridCol w:w="7920"/>
      </w:tblGrid>
      <w:tr>
        <w:tc>
          <w:tcPr/>
          <w:bookmarkStart w:id="107" w:name="fig-Pigm"/>
          <w:p>
            <w:pPr>
              <w:pStyle w:val="Compact"/>
              <w:jc w:val="center"/>
            </w:pPr>
            <w:r>
              <w:drawing>
                <wp:inline>
                  <wp:extent cx="5334000" cy="2473274"/>
                  <wp:effectExtent b="0" l="0" r="0" t="0"/>
                  <wp:docPr descr="" title="" id="105" name="Picture"/>
                  <a:graphic>
                    <a:graphicData uri="http://schemas.openxmlformats.org/drawingml/2006/picture">
                      <pic:pic>
                        <pic:nvPicPr>
                          <pic:cNvPr descr="./Figures/Low_res/Disc_Pigment_Table.png" id="106" name="Picture"/>
                          <pic:cNvPicPr>
                            <a:picLocks noChangeArrowheads="1" noChangeAspect="1"/>
                          </pic:cNvPicPr>
                        </pic:nvPicPr>
                        <pic:blipFill>
                          <a:blip r:embed="rId104"/>
                          <a:stretch>
                            <a:fillRect/>
                          </a:stretch>
                        </pic:blipFill>
                        <pic:spPr bwMode="auto">
                          <a:xfrm>
                            <a:off x="0" y="0"/>
                            <a:ext cx="5334000" cy="24732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Photosynthetic and carotenoid pigments present (Green) or absent (Red) in each taxonomic class present in the Neural Network Classifier, along with their absorption wavelength measured with spectroradiometer. Chl b: chlorophyll b, Chl c: chlorophyll c, Fuco: fucoxanthin, Zea: zeaxanthin, Diad: diadinoxanthin, Lut: lutein, Neo: neoxanthin, PE: phycoerythrin, PC: phycocyanin.</w:t>
            </w:r>
          </w:p>
          <w:bookmarkEnd w:id="107"/>
        </w:tc>
      </w:tr>
    </w:tbl>
    <w:bookmarkEnd w:id="108"/>
    <w:p>
      <w:pPr>
        <w:pStyle w:val="BodyText"/>
      </w:pPr>
      <w:r>
        <w:t xml:space="preserve">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using high-resolution drone imagery with 10 spectral bands.</w:t>
      </w:r>
      <w:r>
        <w:t xml:space="preserve"> </w:t>
      </w:r>
      <w:r>
        <w:t xml:space="preserve">Davies et al. (2023a)</w:t>
      </w:r>
      <w:r>
        <w:t xml:space="preserve"> </w:t>
      </w:r>
      <w:r>
        <w:t xml:space="preserve">have shown that having at least eight spectral bands ranging between 500 nm to 850 nm including a green band at 530 nm and another one in the RedEdge region at 730 nm was crucial to accurately discriminate among green macrophytes.</w:t>
      </w:r>
    </w:p>
    <w:bookmarkStart w:id="113" w:name="cell-fig-ValidationGreen"/>
    <w:tbl>
      <w:tblPr>
        <w:tblStyle w:val="Table"/>
        <w:tblW w:type="pct" w:w="5000"/>
        <w:tblLook w:firstRow="0" w:lastRow="0" w:firstColumn="0" w:lastColumn="0" w:noHBand="0" w:noVBand="0" w:val="0000"/>
        <w:jc w:val="start"/>
        <w:tblLayout w:type="fixed"/>
      </w:tblPr>
      <w:tblGrid>
        <w:gridCol w:w="7920"/>
      </w:tblGrid>
      <w:tr>
        <w:tc>
          <w:tcPr/>
          <w:bookmarkStart w:id="112" w:name="fig-ValidationGreen"/>
          <w:p>
            <w:pPr>
              <w:pStyle w:val="Compact"/>
              <w:jc w:val="center"/>
            </w:pPr>
            <w:r>
              <w:drawing>
                <wp:inline>
                  <wp:extent cx="2709559" cy="1932778"/>
                  <wp:effectExtent b="0" l="0" r="0" t="0"/>
                  <wp:docPr descr="" title="" id="110" name="Picture"/>
                  <a:graphic>
                    <a:graphicData uri="http://schemas.openxmlformats.org/drawingml/2006/picture">
                      <pic:pic>
                        <pic:nvPicPr>
                          <pic:cNvPr descr="./Figures/Low_res/Validation/ConfusionMatrixGreen.png" id="111" name="Picture"/>
                          <pic:cNvPicPr>
                            <a:picLocks noChangeArrowheads="1" noChangeAspect="1"/>
                          </pic:cNvPicPr>
                        </pic:nvPicPr>
                        <pic:blipFill>
                          <a:blip r:embed="rId109"/>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Sample of</w:t>
            </w:r>
            <w:r>
              <w:t xml:space="preserve"> </w:t>
            </w:r>
            <w:hyperlink w:anchor="fig-Validation">
              <w:r>
                <w:rPr>
                  <w:rStyle w:val="Hyperlink"/>
                </w:rPr>
                <w:t xml:space="preserve">Figure 9</w:t>
              </w:r>
            </w:hyperlink>
            <w:r>
              <w:t xml:space="preserve"> </w:t>
            </w:r>
            <w:r>
              <w:t xml:space="preserve">focusing on green macrophytes. The labels inside the matrix indicate the number of pixels.</w:t>
            </w:r>
          </w:p>
          <w:bookmarkEnd w:id="112"/>
        </w:tc>
      </w:tr>
    </w:tbl>
    <w:bookmarkEnd w:id="113"/>
    <w:p>
      <w:pPr>
        <w:pStyle w:val="BodyText"/>
      </w:pPr>
      <w:r>
        <w:t xml:space="preserve">Meeting these two criteria, the Micasense RedEdge-MX DUAL camera used in this study, enabled the classifier to achieve 97% of accuracy between these two classes (</w:t>
      </w:r>
      <w:hyperlink w:anchor="fig-ValidationGreen">
        <w:r>
          <w:rPr>
            <w:rStyle w:val="Hyperlink"/>
          </w:rPr>
          <w:t xml:space="preserve">Figure 13</w:t>
        </w:r>
      </w:hyperlink>
      <w:r>
        <w:t xml:space="preserve">). Even if the pigment composition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concentration and/or pigment ratios</w:t>
      </w:r>
      <w:r>
        <w:t xml:space="preserve"> </w:t>
      </w:r>
      <w:r>
        <w:t xml:space="preserve">(Bargain et al., 2013)</w:t>
      </w:r>
      <w:r>
        <w:t xml:space="preserve">, different cellular organization and the disposition of the plant over the sediment surface</w:t>
      </w:r>
      <w:r>
        <w:t xml:space="preserve"> </w:t>
      </w:r>
      <w:r>
        <w:t xml:space="preserve">(Beach et al., 1997 ; Kirk, 1994 ; Hedley et al., 2018)</w:t>
      </w:r>
      <w:r>
        <w:t xml:space="preserve">.</w:t>
      </w:r>
    </w:p>
    <w:p>
      <w:pPr>
        <w:pStyle w:val="BodyText"/>
      </w:pPr>
      <w:r>
        <w:t xml:space="preserve">The VIP analysis of the Neural Network model (</w:t>
      </w:r>
      <w:hyperlink w:anchor="fig-VIP">
        <w:r>
          <w:rPr>
            <w:rStyle w:val="Hyperlink"/>
          </w:rPr>
          <w:t xml:space="preserve">Figure 10</w:t>
        </w:r>
      </w:hyperlink>
      <w:r>
        <w:t xml:space="preserve">) identified that the band at 531 nm was the most important one for accurately identifying Chlorophyceae. In fact, at this wavelength, Chlorophyceae exhibited the highest reflectance (raw and standardized) among all other classes, highlighting the potential differences in accessory pigment ratios (i.e. carotenoid) between seagrasses and green macroalgae</w:t>
      </w:r>
      <w:r>
        <w:t xml:space="preserve"> </w:t>
      </w:r>
      <w:r>
        <w:t xml:space="preserve">(Repolho et al., 2017)</w:t>
      </w:r>
      <w:r>
        <w:t xml:space="preserve">.</w:t>
      </w:r>
    </w:p>
    <w:p>
      <w:pPr>
        <w:pStyle w:val="BodyText"/>
      </w:pPr>
      <w:r>
        <w:t xml:space="preserve">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region (</w:t>
      </w:r>
      <w:hyperlink w:anchor="fig-Pigm">
        <w:r>
          <w:rPr>
            <w:rStyle w:val="Hyperlink"/>
          </w:rPr>
          <w:t xml:space="preserve">Figure 12</w:t>
        </w:r>
      </w:hyperlink>
      <w:r>
        <w:t xml:space="preserve"> </w:t>
      </w:r>
      <w:r>
        <w:t xml:space="preserve">;</w:t>
      </w:r>
      <w:r>
        <w:t xml:space="preserve"> </w:t>
      </w:r>
      <w:hyperlink w:anchor="fig-VIP">
        <w:r>
          <w:rPr>
            <w:rStyle w:val="Hyperlink"/>
          </w:rPr>
          <w:t xml:space="preserve">Figure 10</w:t>
        </w:r>
      </w:hyperlink>
      <w:r>
        <w:t xml:space="preserve">). These two key features have been identified by the Neural Network as the two principal predictors to accurately identify brown algae (</w:t>
      </w:r>
      <w:hyperlink w:anchor="fig-VIP">
        <w:r>
          <w:rPr>
            <w:rStyle w:val="Hyperlink"/>
          </w:rPr>
          <w:t xml:space="preserve">Figure 10</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10</w:t>
        </w:r>
      </w:hyperlink>
      <w:r>
        <w:t xml:space="preserve">). Indeed the band at 560 nm has been identified as important for identifying this class likely due to phycoerythrin absorption at this wavelength (</w:t>
      </w:r>
      <w:r>
        <w:rPr>
          <w:bCs/>
          <w:b/>
        </w:rPr>
        <w:t xml:space="preserve">REF</w:t>
      </w:r>
      <w:r>
        <w:t xml:space="preserve">). Regarding Bacillariophyceae, the VIP analysis (</w:t>
      </w:r>
      <w:hyperlink w:anchor="fig-VIP">
        <w:r>
          <w:rPr>
            <w:rStyle w:val="Hyperlink"/>
          </w:rPr>
          <w:t xml:space="preserve">Figure 10</w:t>
        </w:r>
      </w:hyperlink>
      <w:r>
        <w:t xml:space="preserve">) indicated that 475 nm was the most important predictor for this class. This is not a usual diagnostic wavelength for Bacillariophyceae which is mainly identified by the presence of fucoxanthin and chlorophyll c (</w:t>
      </w:r>
      <w:hyperlink w:anchor="fig-Pigm">
        <w:r>
          <w:rPr>
            <w:rStyle w:val="Hyperlink"/>
          </w:rPr>
          <w:t xml:space="preserve">Figure 12</w:t>
        </w:r>
      </w:hyperlink>
      <w:r>
        <w:t xml:space="preserve">), but it correspond to the absorption of diadinoxanthin an accessory pigment characteristic of this class</w:t>
      </w:r>
      <w:r>
        <w:t xml:space="preserve"> </w:t>
      </w:r>
      <w:r>
        <w:t xml:space="preserve">(Méléder et al., 2003)</w:t>
      </w:r>
      <w:r>
        <w:t xml:space="preserve">. Furthermore, it is the vegetation with the lowest concentration of chlorophyll-a, pigment absorbing light both in the blue and the red. The transparency of Bacillariophyceae makes the reflectance of the sediment part of the overall reflectance of Bacillariophyceae, further explaining the high reflectance in the blue.</w:t>
      </w:r>
    </w:p>
    <w:bookmarkEnd w:id="114"/>
    <w:bookmarkStart w:id="115" w:name="X7f3bce9fb076cc3ccbe1fd0122062c1b5b562f2"/>
    <w:p>
      <w:pPr>
        <w:pStyle w:val="Heading2"/>
      </w:pPr>
      <w:r>
        <w:t xml:space="preserve">4.2 Impact of Spectral, Spatial, and Temporal Resolution on Predictive Accuracy</w:t>
      </w:r>
    </w:p>
    <w:p>
      <w:pPr>
        <w:pStyle w:val="FirstParagraph"/>
      </w:pPr>
      <w:r>
        <w:t xml:space="preserve">While comparing the reflectance of both altitudes (12 m and 120 m), it was observed</w:t>
      </w:r>
      <w:r>
        <w:t xml:space="preserve"> </w:t>
      </w:r>
      <w:hyperlink w:anchor="fig-CompareRef">
        <w:r>
          <w:rPr>
            <w:rStyle w:val="Hyperlink"/>
          </w:rPr>
          <w:t xml:space="preserve">Figure 8</w:t>
        </w:r>
      </w:hyperlink>
      <w:r>
        <w:t xml:space="preserve"> </w:t>
      </w:r>
      <w:r>
        <w:t xml:space="preserve">that there is an underestimation of the infrared part of the spectra in the high-altitude dataset.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r>
        <w:t xml:space="preserve">(Cao et al., 2017)</w:t>
      </w:r>
      <w:r>
        <w:t xml:space="preserve">). This approach allowed us to eliminate the slight reflectance difference between the flights (</w:t>
      </w:r>
      <w:hyperlink w:anchor="fig-CompareRef">
        <w:r>
          <w:rPr>
            <w:rStyle w:val="Hyperlink"/>
          </w:rPr>
          <w:t xml:space="preserve">Figure 8</w:t>
        </w:r>
      </w:hyperlink>
      <w:r>
        <w:t xml:space="preserve"> </w:t>
      </w:r>
      <w:r>
        <w:t xml:space="preserve">B) and to focus on the shape of the spectra in the visible part of the electromagnetic spectra, where different pigmentation are associated to taxonomic diagnostic features. This was a key feature in building a model that could reliably predict vegetation across geographical sites and seasons. It enabled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The</w:t>
      </w:r>
      <w:r>
        <w:t xml:space="preserve"> </w:t>
      </w:r>
      <w:hyperlink w:anchor="fig-upscaling">
        <w:r>
          <w:rPr>
            <w:rStyle w:val="Hyperlink"/>
          </w:rPr>
          <w:t xml:space="preserve">Figure 11</w:t>
        </w:r>
      </w:hyperlink>
      <w:r>
        <w:t xml:space="preserve"> </w:t>
      </w:r>
      <w:r>
        <w:t xml:space="preserve">demonstrates that at least 90 % of seagrass cover is necessary for confident prediction of its presence. This highlights a limitation of the methodology used to construct the training dataset for the model. The dataset used to train our algorithm was composed exclusively of pure pixels, which has resulted in the model’s reduced confidence when faced with lower percentages of seagrass cover. Also, intertidal seagrasses exhibit marked phenology, with varying pigment composition throughout the year</w:t>
      </w:r>
      <w:r>
        <w:t xml:space="preserve">(Bargain et al., 2013 ; Légaré et al., 2022)</w:t>
      </w:r>
      <w:r>
        <w:t xml:space="preserve">. Since the training dataset has been made using well developed seagrass meadows, this model may be less accurate outside of the seasonal seagrass peak of biomass. Further investigation is required to evaluate the accuracy of the method along different periods of the year.</w:t>
      </w:r>
    </w:p>
    <w:bookmarkEnd w:id="115"/>
    <w:bookmarkStart w:id="116" w:name="application-of-the-model"/>
    <w:p>
      <w:pPr>
        <w:pStyle w:val="Heading2"/>
      </w:pPr>
      <w:r>
        <w:t xml:space="preserve">4.3 Application of the model</w:t>
      </w:r>
    </w:p>
    <w:p>
      <w:pPr>
        <w:pStyle w:val="FirstParagraph"/>
      </w:pPr>
      <w:r>
        <w:t xml:space="preserve">Climate change, global warming, alien and invasive species development, coastal erosion, and sealevel rise are expected to continue impacting coastal ecosystems in the future</w:t>
      </w:r>
      <w:r>
        <w:t xml:space="preserve"> </w:t>
      </w:r>
      <w:r>
        <w:t xml:space="preserve">(Holon et al., 2018 ; Marquet et al., 2024; Schibalski et al., 2022)</w:t>
      </w:r>
      <w:r>
        <w:t xml:space="preserve">. Therefore the demand for meaningful and efficient monitoring methods for these habitats has never been greater</w:t>
      </w:r>
      <w:r>
        <w:t xml:space="preserve"> </w:t>
      </w:r>
      <w:r>
        <w:t xml:space="preserve">(Muller-Karger et al., 2018 ; Villalobos Perna et al., 2023 ; Oiry and Barillé, 2021)</w:t>
      </w:r>
      <w:r>
        <w:t xml:space="preserve">. Our findings, particularly the improved discrimination of seagrass from other intertidal vegetation classes, underscore the potential of drone-based remote sensing to support diverse applications, from biodiversity conservation to climate change adaptation strategies.</w:t>
      </w:r>
    </w:p>
    <w:p>
      <w:pPr>
        <w:pStyle w:val="BodyText"/>
      </w:pPr>
      <w:r>
        <w:t xml:space="preserve">With the increase in nutrient concentrations in coastal waters, macroalgal blooms are becoming increasingly common in many regions around the world</w:t>
      </w:r>
      <w:r>
        <w:t xml:space="preserve"> </w:t>
      </w:r>
      <w:r>
        <w:t xml:space="preserve">(Sutton et al., 2011 ; Ye et al., 2011)</w:t>
      </w:r>
      <w:r>
        <w:t xml:space="preserve">. These blooms can have negative impacts on local economic activities, including human health, fishing and aquaculture, tourism, and recreational activities</w:t>
      </w:r>
      <w:r>
        <w:t xml:space="preserve"> </w:t>
      </w:r>
      <w:r>
        <w:t xml:space="preserve">(Villares et al., 1999 ; Ye et al., 2011)</w:t>
      </w:r>
      <w:r>
        <w:t xml:space="preserve">. The first green tide events (i.e. bloom of green macroalgae of the genus</w:t>
      </w:r>
      <w:r>
        <w:t xml:space="preserve"> </w:t>
      </w:r>
      <w:r>
        <w:rPr>
          <w:iCs/>
          <w:i/>
        </w:rPr>
        <w:t xml:space="preserve">Ulva</w:t>
      </w:r>
      <w:r>
        <w:t xml:space="preserve">) were reported in Brittany, France, back in the 1970s and have since been a concern for local policies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Cs/>
          <w:i/>
        </w:rPr>
        <w:t xml:space="preserve">Sargassum</w:t>
      </w:r>
      <w:r>
        <w:t xml:space="preserve"> </w:t>
      </w:r>
      <w:r>
        <w:t xml:space="preserve">(Louime et al., 2017)</w:t>
      </w:r>
      <w:r>
        <w:t xml:space="preserve">. Satellite remote sensing has proven to be a valuable tool for mapping the spatial and temporal extent of macroalgal blooms worldwide. However, due to its limitations in spatial resolution, it can only effectively map well-developed blooms</w:t>
      </w:r>
      <w:r>
        <w:t xml:space="preserve"> </w:t>
      </w:r>
      <w:r>
        <w:t xml:space="preserve">(Schreyers et al., 2021 ; Klemas, 2012 ; Haro et al., 2023)</w:t>
      </w:r>
      <w:r>
        <w:t xml:space="preserve">. High spatial resolution drone imagery, coupled with an accurate classification algorithm, could be utilized to map the early stages of macroalgal blooms in areas known to have regular blooms or in new sites. Indeed, this approach could provide early warning alerts to local policymakers.</w:t>
      </w:r>
    </w:p>
    <w:p>
      <w:pPr>
        <w:pStyle w:val="BodyText"/>
      </w:pPr>
      <w:r>
        <w:t xml:space="preserve">Employing traditional sampling methods to monitor these ecosystems is time and resource-intensive, and the findings are often difficult to up-scale. Earth observation methods can bridge this gap and meet the needs for monitoring coastal ecosystems</w:t>
      </w:r>
      <w:r>
        <w:t xml:space="preserve"> </w:t>
      </w:r>
      <w:r>
        <w:t xml:space="preserve">(Papathanasopoulou et al., 2019)</w:t>
      </w:r>
      <w:r>
        <w:t xml:space="preserve">. The retrieval of Essential Biodiversity Variables and Essential Ocean Variables through satellite observations is increasingly common, enabling comprehensive monitoring of entire ecosystems over extended time periods</w:t>
      </w:r>
      <w:r>
        <w:t xml:space="preserve"> </w:t>
      </w:r>
      <w:r>
        <w:t xml:space="preserve">(Ratnarajah et al., 2023 ; Zoffoli et al., 2020)</w:t>
      </w:r>
      <w:r>
        <w:t xml:space="preserve">. The Water Framework Directive</w:t>
      </w:r>
      <w:r>
        <w:t xml:space="preserve"> </w:t>
      </w:r>
      <w:r>
        <w:t xml:space="preserve">(WFD : European-Commission, 2000)</w:t>
      </w:r>
      <w:r>
        <w:t xml:space="preserve"> </w:t>
      </w:r>
      <w:r>
        <w:t xml:space="preserve">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these ecosystems. Drones, with their capability for high-resolution, multispectral imagery and, flight on-demand, provide a novel and powerful means to rapidly and accurately acquire ground truth data (i.e. output of the model used in the present study). These data are critical for calibrating and validating satellite remote sensing applications, thereby enhancing our capacity to monitor vast coastal areas systematically under the WFD. A perspective of this work could be applying this algorithm to satellite imagery (e.g. Sentinel-2) to evaluate if the discrimination between seagrass and green macroalgae is still operational at a coarser spatial resolution. The integration of drone technology facilitates a scalable approach to environmental surveillance, offering significant advancements in the spatial and temporal resolution of data collection. This, in turn, supports the directive’s objectives by enabling more informed and timely management decisions for the conservation and restoration of aquatic ecosystems.</w:t>
      </w:r>
    </w:p>
    <w:bookmarkEnd w:id="116"/>
    <w:bookmarkEnd w:id="117"/>
    <w:bookmarkStart w:id="210" w:name="conclusion"/>
    <w:p>
      <w:pPr>
        <w:pStyle w:val="Heading1"/>
      </w:pPr>
      <w:r>
        <w:t xml:space="preserve">5. Conclusion</w:t>
      </w:r>
    </w:p>
    <w:p>
      <w:pPr>
        <w:pStyle w:val="FirstParagraph"/>
      </w:pPr>
      <w:r>
        <w:t xml:space="preserve">The utilization of very high-resolution drone-based remote sensing coupled with machine learning techniques has proven to be an effective method for the discrimination of seagrasses from green macroalgae with a multispectral resolution sensor. Standardized reflectance was incorporated in the Neural Network model allowing for a better discrimination of spectral features related to pigment absorption in the visible. There was a striking difference for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macrophytes. A sentinel-2 algorithm could be developed, using the output of this current workflow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bookmarkStart w:id="209" w:name="refs"/>
    <w:bookmarkStart w:id="118" w:name="ref-adade2021"/>
    <w:p>
      <w:pPr>
        <w:pStyle w:val="Bibliography"/>
      </w:pPr>
      <w:r>
        <w:t xml:space="preserve">Adade, R., Aibinu, A.M., Ekumah, B., Asaana, J., 2021. Unmanned aerial vehicle (UAV) applications in coastal zone management—a review. Environmental Monitoring and Assessment 193, 1–12.</w:t>
      </w:r>
    </w:p>
    <w:bookmarkEnd w:id="118"/>
    <w:bookmarkStart w:id="119"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19"/>
    <w:bookmarkStart w:id="120"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20"/>
    <w:bookmarkStart w:id="121"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21"/>
    <w:bookmarkStart w:id="122" w:name="ref-beach1997vivo"/>
    <w:p>
      <w:pPr>
        <w:pStyle w:val="Bibliography"/>
      </w:pPr>
      <w:r>
        <w:t xml:space="preserve">Beach, K., Borgeas, H., Nishimura, N., Smith, C., 1997. In vivo absorbance spectra and the ecophysiology of reef macroalgae. Coral Reefs 16, 21–28.</w:t>
      </w:r>
    </w:p>
    <w:bookmarkEnd w:id="122"/>
    <w:bookmarkStart w:id="124"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23">
        <w:r>
          <w:rPr>
            <w:rStyle w:val="Hyperlink"/>
          </w:rPr>
          <w:t xml:space="preserve">https://doi.org/10.3390/RS14020307</w:t>
        </w:r>
      </w:hyperlink>
    </w:p>
    <w:bookmarkEnd w:id="124"/>
    <w:bookmarkStart w:id="126"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25">
        <w:r>
          <w:rPr>
            <w:rStyle w:val="Hyperlink"/>
          </w:rPr>
          <w:t xml:space="preserve">https://doi.org/10.1139/cjfas-2016-0137</w:t>
        </w:r>
      </w:hyperlink>
    </w:p>
    <w:bookmarkEnd w:id="126"/>
    <w:bookmarkStart w:id="127" w:name="ref-casella2020"/>
    <w:p>
      <w:pPr>
        <w:pStyle w:val="Bibliography"/>
      </w:pPr>
      <w:r>
        <w:t xml:space="preserve">Casella, E., Drechsel, J., Winter, C., Benninghoff, M., Rovere, A., 2020. Accuracy of sand beach topography surveying by drones and photogrammetry. Geo-Marine Letters 40, 255–268.</w:t>
      </w:r>
    </w:p>
    <w:bookmarkEnd w:id="127"/>
    <w:bookmarkStart w:id="128"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28"/>
    <w:bookmarkStart w:id="129" w:name="ref-chefaoui2018dramatic"/>
    <w:p>
      <w:pPr>
        <w:pStyle w:val="Bibliography"/>
      </w:pPr>
      <w:r>
        <w:t xml:space="preserve">Chefaoui, R.M., Duarte, C.M., Serrão, E.A., 2018. Dramatic loss of seagrass habitat under projected climate change in the mediterranean sea. Global change biology 24, 4919–4928.</w:t>
      </w:r>
    </w:p>
    <w:bookmarkEnd w:id="129"/>
    <w:bookmarkStart w:id="130"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30"/>
    <w:bookmarkStart w:id="131" w:name="ref-collin2019improving"/>
    <w:p>
      <w:pPr>
        <w:pStyle w:val="Bibliography"/>
      </w:pPr>
      <w:r>
        <w:t xml:space="preserve">Collin, A., Dubois, S., James, D., Houet, T., 2019. Improving intertidal reef mapping using UAV surface, red edge, and near-infrared data. Drones 3, 67.</w:t>
      </w:r>
    </w:p>
    <w:bookmarkEnd w:id="131"/>
    <w:bookmarkStart w:id="133"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32">
        <w:r>
          <w:rPr>
            <w:rStyle w:val="Hyperlink"/>
          </w:rPr>
          <w:t xml:space="preserve">https://doi.org/10.1016/j.ecolind.2020.107018</w:t>
        </w:r>
      </w:hyperlink>
    </w:p>
    <w:bookmarkEnd w:id="133"/>
    <w:bookmarkStart w:id="135"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34">
        <w:r>
          <w:rPr>
            <w:rStyle w:val="Hyperlink"/>
          </w:rPr>
          <w:t xml:space="preserve">https://doi.org/10.1016/j.rse.2023.113554</w:t>
        </w:r>
      </w:hyperlink>
    </w:p>
    <w:bookmarkEnd w:id="135"/>
    <w:bookmarkStart w:id="137" w:name="ref-BedeGbif"/>
    <w:p>
      <w:pPr>
        <w:pStyle w:val="Bibliography"/>
      </w:pPr>
      <w:r>
        <w:t xml:space="preserve">Davies, B.F.R., Sousa, A.I., Figueira, R., Oiry, S., Gernez, P., Barillé, L., 2023b. Benthic intertidal vegetation from the tagus estuary and aveiro lagoon.</w:t>
      </w:r>
      <w:r>
        <w:t xml:space="preserve"> </w:t>
      </w:r>
      <w:hyperlink r:id="rId136">
        <w:r>
          <w:rPr>
            <w:rStyle w:val="Hyperlink"/>
          </w:rPr>
          <w:t xml:space="preserve">https://doi.org/10.15468/n4ak6x</w:t>
        </w:r>
      </w:hyperlink>
    </w:p>
    <w:bookmarkEnd w:id="137"/>
    <w:bookmarkStart w:id="138" w:name="ref-devlin2023nutrients"/>
    <w:p>
      <w:pPr>
        <w:pStyle w:val="Bibliography"/>
      </w:pPr>
      <w:r>
        <w:t xml:space="preserve">Devlin, M., Brodie, J., 2023. Nutrients and eutrophication, in: Marine Pollution–Monitoring, Management and Mitigation. Springer, pp. 75–100.</w:t>
      </w:r>
    </w:p>
    <w:bookmarkEnd w:id="138"/>
    <w:bookmarkStart w:id="140" w:name="ref-Douay2022"/>
    <w:p>
      <w:pPr>
        <w:pStyle w:val="Bibliography"/>
      </w:pPr>
      <w:r>
        <w:t xml:space="preserve">Douay, F., Verpoorter, C., Duong, G., Spilmont, N., Gevaert, F., 2022. New hyperspectral procedure to discriminate intertidal macroalgae. Remote Sensing 14.</w:t>
      </w:r>
      <w:r>
        <w:t xml:space="preserve"> </w:t>
      </w:r>
      <w:hyperlink r:id="rId139">
        <w:r>
          <w:rPr>
            <w:rStyle w:val="Hyperlink"/>
          </w:rPr>
          <w:t xml:space="preserve">https://doi.org/10.3390/rs14020346</w:t>
        </w:r>
      </w:hyperlink>
    </w:p>
    <w:bookmarkEnd w:id="140"/>
    <w:bookmarkStart w:id="141"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41"/>
    <w:bookmarkStart w:id="142"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42"/>
    <w:bookmarkStart w:id="143"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43"/>
    <w:bookmarkStart w:id="144" w:name="ref-foden2007angiosperms"/>
    <w:p>
      <w:pPr>
        <w:pStyle w:val="Bibliography"/>
      </w:pPr>
      <w:r>
        <w:t xml:space="preserve">Foden, J., Brazier, D., 2007. Angiosperms (seagrass) within the EU water framework directive: A UK perspective. Marine Pollution Bulletin 55, 181–195.</w:t>
      </w:r>
    </w:p>
    <w:bookmarkEnd w:id="144"/>
    <w:bookmarkStart w:id="145" w:name="ref-fyfe2003spatial"/>
    <w:p>
      <w:pPr>
        <w:pStyle w:val="Bibliography"/>
      </w:pPr>
      <w:r>
        <w:t xml:space="preserve">Fyfe, S., 2003. Spatial and temporal variation in spectral reflectance: Are seagrass species spectrally distinct? Limnology and Oceanography 48, 464–479.</w:t>
      </w:r>
    </w:p>
    <w:bookmarkEnd w:id="145"/>
    <w:bookmarkStart w:id="146" w:name="ref-gardner2018"/>
    <w:p>
      <w:pPr>
        <w:pStyle w:val="Bibliography"/>
      </w:pPr>
      <w:r>
        <w:t xml:space="preserve">Gardner, R.C., Finlayson, C., 2018. Global wetland outlook: State of the world’s wetlands and their services to people. Stetson Law.</w:t>
      </w:r>
    </w:p>
    <w:bookmarkEnd w:id="146"/>
    <w:bookmarkStart w:id="148" w:name="ref-HARO2023103451"/>
    <w:p>
      <w:pPr>
        <w:pStyle w:val="Bibliography"/>
      </w:pPr>
      <w:r>
        <w:t xml:space="preserve">Haro, S., Bermejo, R., Wilkes, R., Bull, L., Morrison, L., 2023. Monitoring intertidal golden tides dominated by ectocarpus siliculosus using sentinel-2 imagery. International Journal of Applied Earth Observation and Geoinformation 122, 103451. https://doi.org/</w:t>
      </w:r>
      <w:hyperlink r:id="rId147">
        <w:r>
          <w:rPr>
            <w:rStyle w:val="Hyperlink"/>
          </w:rPr>
          <w:t xml:space="preserve">https://doi.org/10.1016/j.jag.2023.103451</w:t>
        </w:r>
      </w:hyperlink>
    </w:p>
    <w:bookmarkEnd w:id="148"/>
    <w:bookmarkStart w:id="149"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49"/>
    <w:bookmarkStart w:id="150"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50"/>
    <w:bookmarkStart w:id="151"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51"/>
    <w:bookmarkStart w:id="152" w:name="ref-joyce2023"/>
    <w:p>
      <w:pPr>
        <w:pStyle w:val="Bibliography"/>
      </w:pPr>
      <w:r>
        <w:t xml:space="preserve">Joyce, K.E., Fickas, K.C., Kalamandeen, M., 2023. The unique value proposition for using drones to map coastal ecosystems. Cambridge Prisms: Coastal Futures 1, e6.</w:t>
      </w:r>
    </w:p>
    <w:bookmarkEnd w:id="152"/>
    <w:bookmarkStart w:id="153" w:name="ref-kirk1994light"/>
    <w:p>
      <w:pPr>
        <w:pStyle w:val="Bibliography"/>
      </w:pPr>
      <w:r>
        <w:t xml:space="preserve">Kirk, J.T., 1994. Light and photosynthesis in aquatic ecosystems. Cambridge university press.</w:t>
      </w:r>
    </w:p>
    <w:bookmarkEnd w:id="153"/>
    <w:bookmarkStart w:id="154" w:name="ref-klemas2012remote"/>
    <w:p>
      <w:pPr>
        <w:pStyle w:val="Bibliography"/>
      </w:pPr>
      <w:r>
        <w:t xml:space="preserve">Klemas, V., 2012. Remote sensing of algal blooms: An overview with case studies. Journal of coastal research 28, 34–43.</w:t>
      </w:r>
    </w:p>
    <w:bookmarkEnd w:id="154"/>
    <w:bookmarkStart w:id="155"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55"/>
    <w:bookmarkStart w:id="156"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56"/>
    <w:bookmarkStart w:id="157"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57"/>
    <w:bookmarkStart w:id="158" w:name="ref-louime2017sargassum"/>
    <w:p>
      <w:pPr>
        <w:pStyle w:val="Bibliography"/>
      </w:pPr>
      <w:r>
        <w:t xml:space="preserve">Louime, C., Fortune, J., Gervais, G., 2017. Sargassum invasion of coastal environments: A growing concern. American Journal of Environmental Sciences 13, 58–64.</w:t>
      </w:r>
    </w:p>
    <w:bookmarkEnd w:id="158"/>
    <w:bookmarkStart w:id="159"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59"/>
    <w:bookmarkStart w:id="160"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160"/>
    <w:bookmarkStart w:id="161"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161"/>
    <w:bookmarkStart w:id="163"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62">
        <w:r>
          <w:rPr>
            <w:rStyle w:val="Hyperlink"/>
          </w:rPr>
          <w:t xml:space="preserve">https://doi.org/10.1111/GCB.14108</w:t>
        </w:r>
      </w:hyperlink>
    </w:p>
    <w:bookmarkEnd w:id="163"/>
    <w:bookmarkStart w:id="164"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64"/>
    <w:bookmarkStart w:id="165" w:name="ref-nguyen2021"/>
    <w:p>
      <w:pPr>
        <w:pStyle w:val="Bibliography"/>
      </w:pPr>
      <w:r>
        <w:t xml:space="preserve">Nguyen, H.M., Ralph, P.J., Marı́n-Guirao, L., Pernice, M., Procaccini, G., 2021. Seagrasses in an era of ocean warming: A review. Biological Reviews 96, 2009–2030.</w:t>
      </w:r>
    </w:p>
    <w:bookmarkEnd w:id="165"/>
    <w:bookmarkStart w:id="166"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66"/>
    <w:bookmarkStart w:id="167"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67"/>
    <w:bookmarkStart w:id="168" w:name="ref-oh2017use"/>
    <w:p>
      <w:pPr>
        <w:pStyle w:val="Bibliography"/>
      </w:pPr>
      <w:r>
        <w:t xml:space="preserve">Oh, J., Kim, D., Lee, H., 2017. Use of a drone for mapping and time series image acquisition of tidal zones. Journal of the Korean Institute of Intelligent Systems 27, 119–125.</w:t>
      </w:r>
    </w:p>
    <w:bookmarkEnd w:id="168"/>
    <w:bookmarkStart w:id="169" w:name="ref-oiry2021using"/>
    <w:p>
      <w:pPr>
        <w:pStyle w:val="Bibliography"/>
      </w:pPr>
      <w:r>
        <w:t xml:space="preserve">Oiry, S., Barillé, L., 2021. Using sentinel-2 satellite imagery to develop microphytobenthos-based water quality indices in estuaries. Ecological Indicators 121, 107184.</w:t>
      </w:r>
    </w:p>
    <w:bookmarkEnd w:id="169"/>
    <w:bookmarkStart w:id="170"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70"/>
    <w:bookmarkStart w:id="171"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71"/>
    <w:bookmarkStart w:id="172" w:name="ref-Pereira2013"/>
    <w:p>
      <w:pPr>
        <w:pStyle w:val="Bibliography"/>
      </w:pPr>
      <w:r>
        <w:t xml:space="preserve">Pereira, H.M., Ferrier, S., Walters, M., Geller, G.N., Jongman, R.H., Scholes, R.J., Bruford, M.W., Brummitt, N., Butchart, S.H., Cardoso, A., others, 2013. Essential biodiversity variables. Science 339, 277–278.</w:t>
      </w:r>
    </w:p>
    <w:bookmarkEnd w:id="172"/>
    <w:bookmarkStart w:id="173"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73"/>
    <w:bookmarkStart w:id="174"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74"/>
    <w:bookmarkStart w:id="175" w:name="ref-rasheed2011long"/>
    <w:p>
      <w:pPr>
        <w:pStyle w:val="Bibliography"/>
      </w:pPr>
      <w:r>
        <w:t xml:space="preserve">Rasheed, M.A., Unsworth, R.K., 2011. Long-term climate-associated dynamics of a tropical seagrass meadow: Implications for the future. Marine Ecology Progress Series 422, 93–103.</w:t>
      </w:r>
    </w:p>
    <w:bookmarkEnd w:id="175"/>
    <w:bookmarkStart w:id="176"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76"/>
    <w:bookmarkStart w:id="177"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77"/>
    <w:bookmarkStart w:id="179"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78">
        <w:r>
          <w:rPr>
            <w:rStyle w:val="Hyperlink"/>
          </w:rPr>
          <w:t xml:space="preserve">https://doi.org/10.3389/fmars.2022.1004012</w:t>
        </w:r>
      </w:hyperlink>
    </w:p>
    <w:bookmarkEnd w:id="179"/>
    <w:bookmarkStart w:id="180" w:name="ref-Roman2021"/>
    <w:p>
      <w:pPr>
        <w:pStyle w:val="Bibliography"/>
      </w:pPr>
      <w:r>
        <w:t xml:space="preserve">Román, A., Tovar-Sánchez, A., Olivé, I., Navarro, G., 2021. Using a UAV-mounted multispectral camera for the monitoring of marine macrophytes. Frontiers in Marine Science 1225.</w:t>
      </w:r>
    </w:p>
    <w:bookmarkEnd w:id="180"/>
    <w:bookmarkStart w:id="181" w:name="ref-rossiter2020uav"/>
    <w:p>
      <w:pPr>
        <w:pStyle w:val="Bibliography"/>
      </w:pPr>
      <w:r>
        <w:t xml:space="preserve">Rossiter, T., Furey, T., McCarthy, T., Stengel, D.B., 2020. UAV-mounted hyperspectral mapping of intertidal macroalgae. Estuarine, Coastal and Shelf Science 242, 106789.</w:t>
      </w:r>
    </w:p>
    <w:bookmarkEnd w:id="181"/>
    <w:bookmarkStart w:id="183"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82">
        <w:r>
          <w:rPr>
            <w:rStyle w:val="Hyperlink"/>
          </w:rPr>
          <w:t xml:space="preserve">https://doi.org/10.1016/j.ecoser.2022.101414</w:t>
        </w:r>
      </w:hyperlink>
    </w:p>
    <w:bookmarkEnd w:id="183"/>
    <w:bookmarkStart w:id="185"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184">
        <w:r>
          <w:rPr>
            <w:rStyle w:val="Hyperlink"/>
          </w:rPr>
          <w:t xml:space="preserve">https://doi.org/10.3390/rs13081408</w:t>
        </w:r>
      </w:hyperlink>
    </w:p>
    <w:bookmarkEnd w:id="185"/>
    <w:bookmarkStart w:id="187" w:name="ref-Slaton2001"/>
    <w:p>
      <w:pPr>
        <w:pStyle w:val="Bibliography"/>
      </w:pPr>
      <w:r>
        <w:t xml:space="preserve">Slaton, M.R., Raymond Hunt Jr., E., Smith, W.K., 2001. Estimating near-infrared leaf reflectance from leaf structural characteristics. American Journal of Botany 88, 278–284. https://doi.org/</w:t>
      </w:r>
      <w:hyperlink r:id="rId186">
        <w:r>
          <w:rPr>
            <w:rStyle w:val="Hyperlink"/>
          </w:rPr>
          <w:t xml:space="preserve">https://doi.org/10.2307/2657019</w:t>
        </w:r>
      </w:hyperlink>
    </w:p>
    <w:bookmarkEnd w:id="187"/>
    <w:bookmarkStart w:id="188"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88"/>
    <w:bookmarkStart w:id="189"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189"/>
    <w:bookmarkStart w:id="190"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90"/>
    <w:bookmarkStart w:id="192" w:name="ref-Traganos2018"/>
    <w:p>
      <w:pPr>
        <w:pStyle w:val="Bibliography"/>
      </w:pPr>
      <w:r>
        <w:t xml:space="preserve">Traganos, D., Reinartz, P., 2018. Mapping mediterranean seagrasses with sentinel-2 imagery. Marine Pollution Bulletin 134, 197–209.</w:t>
      </w:r>
      <w:r>
        <w:t xml:space="preserve"> </w:t>
      </w:r>
      <w:hyperlink r:id="rId191">
        <w:r>
          <w:rPr>
            <w:rStyle w:val="Hyperlink"/>
          </w:rPr>
          <w:t xml:space="preserve">https://doi.org/10.1016/j.marpolbul.2017.06.075</w:t>
        </w:r>
      </w:hyperlink>
    </w:p>
    <w:bookmarkEnd w:id="192"/>
    <w:bookmarkStart w:id="193"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93"/>
    <w:bookmarkStart w:id="194" w:name="ref-unsworth2022"/>
    <w:p>
      <w:pPr>
        <w:pStyle w:val="Bibliography"/>
      </w:pPr>
      <w:r>
        <w:t xml:space="preserve">Unsworth, R.K., Cullen-Unsworth, L.C., Jones, B.L., Lilley, R.J., 2022. The planetary role of seagrass conservation. Science 377, 609–613.</w:t>
      </w:r>
    </w:p>
    <w:bookmarkEnd w:id="194"/>
    <w:bookmarkStart w:id="195" w:name="ref-veettil2020opportunities"/>
    <w:p>
      <w:pPr>
        <w:pStyle w:val="Bibliography"/>
      </w:pPr>
      <w:r>
        <w:t xml:space="preserve">Veettil, B.K., Ward, R.D., Lima, M.D.A.C., Stankovic, M., Hoai, P.N., Quang, N.X., 2020. Opportunities for seagrass research derived from remote sensing: A review of current methods. Ecological Indicators 117, 106560.</w:t>
      </w:r>
    </w:p>
    <w:bookmarkEnd w:id="195"/>
    <w:bookmarkStart w:id="196"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196"/>
    <w:bookmarkStart w:id="197"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197"/>
    <w:bookmarkStart w:id="198" w:name="ref-wang2022"/>
    <w:p>
      <w:pPr>
        <w:pStyle w:val="Bibliography"/>
      </w:pPr>
      <w:r>
        <w:t xml:space="preserve">Wang, Z., Fang, Z., Liang, J., Song, X., 2022. Assessment of global habitat suitability and risk of ocean green tides. Harmful Algae 119, 102324.</w:t>
      </w:r>
    </w:p>
    <w:bookmarkEnd w:id="198"/>
    <w:bookmarkStart w:id="200" w:name="ref-WEI2015399"/>
    <w:p>
      <w:pPr>
        <w:pStyle w:val="Bibliography"/>
      </w:pPr>
      <w:r>
        <w:t xml:space="preserve">Wei, P., Lu, Z., Song, J., 2015. Variable importance analysis: A comprehensive review. Reliability Engineering and System Safety 142, 399–432. https://doi.org/</w:t>
      </w:r>
      <w:hyperlink r:id="rId199">
        <w:r>
          <w:rPr>
            <w:rStyle w:val="Hyperlink"/>
          </w:rPr>
          <w:t xml:space="preserve">https://doi.org/10.1016/j.ress.2015.05.018</w:t>
        </w:r>
      </w:hyperlink>
    </w:p>
    <w:bookmarkEnd w:id="200"/>
    <w:bookmarkStart w:id="201"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201"/>
    <w:bookmarkStart w:id="202"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02"/>
    <w:bookmarkStart w:id="204"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03">
        <w:r>
          <w:rPr>
            <w:rStyle w:val="Hyperlink"/>
          </w:rPr>
          <w:t xml:space="preserve">https://doi.org/10.1016/j.ecolind.2021.108033</w:t>
        </w:r>
      </w:hyperlink>
    </w:p>
    <w:bookmarkEnd w:id="204"/>
    <w:bookmarkStart w:id="206"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5">
        <w:r>
          <w:rPr>
            <w:rStyle w:val="Hyperlink"/>
          </w:rPr>
          <w:t xml:space="preserve">https://doi.org/10.1002/rse2.319</w:t>
        </w:r>
      </w:hyperlink>
    </w:p>
    <w:bookmarkEnd w:id="206"/>
    <w:bookmarkStart w:id="208"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07">
        <w:r>
          <w:rPr>
            <w:rStyle w:val="Hyperlink"/>
          </w:rPr>
          <w:t xml:space="preserve">https://doi.org/10.1016/j.rse.2020.112020</w:t>
        </w:r>
      </w:hyperlink>
    </w:p>
    <w:bookmarkEnd w:id="208"/>
    <w:bookmarkEnd w:id="209"/>
    <w:bookmarkEnd w:id="2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104" Target="media/rId104.png"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72" Target="media/rId72.png" /><Relationship Type="http://schemas.openxmlformats.org/officeDocument/2006/relationships/image" Id="rId62" Target="media/rId62.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109" Target="media/rId109.png" /><Relationship Type="http://schemas.openxmlformats.org/officeDocument/2006/relationships/image" Id="rId27" Target="media/rId27.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97" Target="media/rId97.png" /><Relationship Type="http://schemas.openxmlformats.org/officeDocument/2006/relationships/image" Id="rId91" Target="media/rId91.png" /><Relationship Type="http://schemas.openxmlformats.org/officeDocument/2006/relationships/hyperlink" Id="rId205" Target="https://doi.org/10.1002/rse2.319" TargetMode="External" /><Relationship Type="http://schemas.openxmlformats.org/officeDocument/2006/relationships/hyperlink" Id="rId132" Target="https://doi.org/10.1016/j.ecolind.2020.107018" TargetMode="External" /><Relationship Type="http://schemas.openxmlformats.org/officeDocument/2006/relationships/hyperlink" Id="rId203" Target="https://doi.org/10.1016/j.ecolind.2021.108033" TargetMode="External" /><Relationship Type="http://schemas.openxmlformats.org/officeDocument/2006/relationships/hyperlink" Id="rId182" Target="https://doi.org/10.1016/j.ecoser.2022.101414" TargetMode="External" /><Relationship Type="http://schemas.openxmlformats.org/officeDocument/2006/relationships/hyperlink" Id="rId147" Target="https://doi.org/10.1016/j.jag.2023.103451" TargetMode="External" /><Relationship Type="http://schemas.openxmlformats.org/officeDocument/2006/relationships/hyperlink" Id="rId191" Target="https://doi.org/10.1016/j.marpolbul.2017.06.075" TargetMode="External" /><Relationship Type="http://schemas.openxmlformats.org/officeDocument/2006/relationships/hyperlink" Id="rId199" Target="https://doi.org/10.1016/j.ress.2015.05.018" TargetMode="External" /><Relationship Type="http://schemas.openxmlformats.org/officeDocument/2006/relationships/hyperlink" Id="rId207" Target="https://doi.org/10.1016/j.rse.2020.112020" TargetMode="External" /><Relationship Type="http://schemas.openxmlformats.org/officeDocument/2006/relationships/hyperlink" Id="rId134" Target="https://doi.org/10.1016/j.rse.2023.113554" TargetMode="External" /><Relationship Type="http://schemas.openxmlformats.org/officeDocument/2006/relationships/hyperlink" Id="rId162" Target="https://doi.org/10.1111/GCB.14108" TargetMode="External" /><Relationship Type="http://schemas.openxmlformats.org/officeDocument/2006/relationships/hyperlink" Id="rId125" Target="https://doi.org/10.1139/cjfas-2016-0137" TargetMode="External" /><Relationship Type="http://schemas.openxmlformats.org/officeDocument/2006/relationships/hyperlink" Id="rId136" Target="https://doi.org/10.15468/n4ak6x" TargetMode="External" /><Relationship Type="http://schemas.openxmlformats.org/officeDocument/2006/relationships/hyperlink" Id="rId186" Target="https://doi.org/10.2307/2657019" TargetMode="External" /><Relationship Type="http://schemas.openxmlformats.org/officeDocument/2006/relationships/hyperlink" Id="rId178" Target="https://doi.org/10.3389/fmars.2022.1004012" TargetMode="External" /><Relationship Type="http://schemas.openxmlformats.org/officeDocument/2006/relationships/hyperlink" Id="rId123" Target="https://doi.org/10.3390/RS14020307" TargetMode="External" /><Relationship Type="http://schemas.openxmlformats.org/officeDocument/2006/relationships/hyperlink" Id="rId184" Target="https://doi.org/10.3390/rs13081408" TargetMode="External" /><Relationship Type="http://schemas.openxmlformats.org/officeDocument/2006/relationships/hyperlink" Id="rId139"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205" Target="https://doi.org/10.1002/rse2.319" TargetMode="External" /><Relationship Type="http://schemas.openxmlformats.org/officeDocument/2006/relationships/hyperlink" Id="rId132" Target="https://doi.org/10.1016/j.ecolind.2020.107018" TargetMode="External" /><Relationship Type="http://schemas.openxmlformats.org/officeDocument/2006/relationships/hyperlink" Id="rId203" Target="https://doi.org/10.1016/j.ecolind.2021.108033" TargetMode="External" /><Relationship Type="http://schemas.openxmlformats.org/officeDocument/2006/relationships/hyperlink" Id="rId182" Target="https://doi.org/10.1016/j.ecoser.2022.101414" TargetMode="External" /><Relationship Type="http://schemas.openxmlformats.org/officeDocument/2006/relationships/hyperlink" Id="rId147" Target="https://doi.org/10.1016/j.jag.2023.103451" TargetMode="External" /><Relationship Type="http://schemas.openxmlformats.org/officeDocument/2006/relationships/hyperlink" Id="rId191" Target="https://doi.org/10.1016/j.marpolbul.2017.06.075" TargetMode="External" /><Relationship Type="http://schemas.openxmlformats.org/officeDocument/2006/relationships/hyperlink" Id="rId199" Target="https://doi.org/10.1016/j.ress.2015.05.018" TargetMode="External" /><Relationship Type="http://schemas.openxmlformats.org/officeDocument/2006/relationships/hyperlink" Id="rId207" Target="https://doi.org/10.1016/j.rse.2020.112020" TargetMode="External" /><Relationship Type="http://schemas.openxmlformats.org/officeDocument/2006/relationships/hyperlink" Id="rId134" Target="https://doi.org/10.1016/j.rse.2023.113554" TargetMode="External" /><Relationship Type="http://schemas.openxmlformats.org/officeDocument/2006/relationships/hyperlink" Id="rId162" Target="https://doi.org/10.1111/GCB.14108" TargetMode="External" /><Relationship Type="http://schemas.openxmlformats.org/officeDocument/2006/relationships/hyperlink" Id="rId125" Target="https://doi.org/10.1139/cjfas-2016-0137" TargetMode="External" /><Relationship Type="http://schemas.openxmlformats.org/officeDocument/2006/relationships/hyperlink" Id="rId136" Target="https://doi.org/10.15468/n4ak6x" TargetMode="External" /><Relationship Type="http://schemas.openxmlformats.org/officeDocument/2006/relationships/hyperlink" Id="rId186" Target="https://doi.org/10.2307/2657019" TargetMode="External" /><Relationship Type="http://schemas.openxmlformats.org/officeDocument/2006/relationships/hyperlink" Id="rId178" Target="https://doi.org/10.3389/fmars.2022.1004012" TargetMode="External" /><Relationship Type="http://schemas.openxmlformats.org/officeDocument/2006/relationships/hyperlink" Id="rId123" Target="https://doi.org/10.3390/RS14020307" TargetMode="External" /><Relationship Type="http://schemas.openxmlformats.org/officeDocument/2006/relationships/hyperlink" Id="rId184" Target="https://doi.org/10.3390/rs13081408" TargetMode="External" /><Relationship Type="http://schemas.openxmlformats.org/officeDocument/2006/relationships/hyperlink" Id="rId139"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2024-03-22T13:06:20Z</dcterms:created>
  <dcterms:modified xsi:type="dcterms:W3CDTF">2024-03-22T13:06:20Z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Drone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(12m and 120m) across heterogeneous intertidal European habitats in France and Portugal. Low altitude flights were used to train a Deep Learning classifier based on Neural Networks to discriminate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This work showed that although they share the same pigmentary composition, seagrass and green algae can be discriminated using a multispectral sensor with ten spectral bands at 444, 475, 531, 560, 650, 668, 705, 717, 740 and 840 nm. The algorithm should now be adapted for Sentinel-2 to see if this discrimination is still operational at a coarser spatial resolution.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2024-03-22</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